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2C" w:rsidRDefault="001B732C" w:rsidP="001B732C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Чамзинского муниципального района</w:t>
      </w: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26079" w:rsidRDefault="00026079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6079" w:rsidRDefault="00026079" w:rsidP="00EE53F7">
      <w:pPr>
        <w:keepNext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</w:t>
      </w:r>
      <w:r w:rsidR="00F10561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 xml:space="preserve">» </w:t>
      </w:r>
      <w:r w:rsidR="00F10561">
        <w:rPr>
          <w:sz w:val="28"/>
          <w:szCs w:val="28"/>
          <w:u w:val="single"/>
        </w:rPr>
        <w:t>ноября</w:t>
      </w:r>
      <w:r>
        <w:rPr>
          <w:sz w:val="28"/>
          <w:szCs w:val="28"/>
          <w:u w:val="single"/>
        </w:rPr>
        <w:t xml:space="preserve">  </w:t>
      </w:r>
      <w:r w:rsidR="00D65D06">
        <w:rPr>
          <w:sz w:val="28"/>
          <w:szCs w:val="28"/>
          <w:u w:val="single"/>
        </w:rPr>
        <w:t xml:space="preserve"> </w:t>
      </w:r>
      <w:r w:rsidR="00EE53F7" w:rsidRPr="00CC0DEB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24</w:t>
      </w:r>
      <w:r w:rsidR="00EE53F7" w:rsidRPr="00CC0DEB">
        <w:rPr>
          <w:sz w:val="28"/>
          <w:szCs w:val="28"/>
          <w:u w:val="single"/>
        </w:rPr>
        <w:t xml:space="preserve">  г.</w:t>
      </w:r>
      <w:r w:rsidR="00EE53F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</w:t>
      </w:r>
      <w:r w:rsidR="00F10561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F10561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663</w:t>
      </w:r>
      <w:r w:rsidR="00EE53F7">
        <w:rPr>
          <w:sz w:val="28"/>
          <w:szCs w:val="28"/>
        </w:rPr>
        <w:t xml:space="preserve">                                 </w:t>
      </w: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р.п. Чамзинка</w:t>
      </w:r>
    </w:p>
    <w:p w:rsidR="00EE53F7" w:rsidRDefault="00EE53F7" w:rsidP="00EE53F7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6079" w:rsidRPr="008D079D" w:rsidRDefault="00026079" w:rsidP="008D079D">
      <w:pPr>
        <w:jc w:val="center"/>
        <w:rPr>
          <w:b/>
          <w:sz w:val="28"/>
          <w:szCs w:val="28"/>
        </w:rPr>
      </w:pPr>
      <w:r w:rsidRPr="008D079D">
        <w:rPr>
          <w:b/>
          <w:sz w:val="28"/>
          <w:szCs w:val="28"/>
        </w:rPr>
        <w:t>Об      обеспечении       первичных      мер</w:t>
      </w:r>
    </w:p>
    <w:p w:rsidR="00026079" w:rsidRPr="008D079D" w:rsidRDefault="00026079" w:rsidP="008D079D">
      <w:pPr>
        <w:jc w:val="center"/>
        <w:rPr>
          <w:b/>
          <w:sz w:val="28"/>
          <w:szCs w:val="28"/>
        </w:rPr>
      </w:pPr>
      <w:r w:rsidRPr="008D079D">
        <w:rPr>
          <w:b/>
          <w:sz w:val="28"/>
          <w:szCs w:val="28"/>
        </w:rPr>
        <w:t>пожарной  безопасности  на  территории</w:t>
      </w:r>
    </w:p>
    <w:p w:rsidR="00026079" w:rsidRPr="008D079D" w:rsidRDefault="00026079" w:rsidP="008D079D">
      <w:pPr>
        <w:jc w:val="center"/>
        <w:rPr>
          <w:b/>
          <w:sz w:val="28"/>
          <w:szCs w:val="28"/>
        </w:rPr>
      </w:pPr>
      <w:r w:rsidRPr="008D079D">
        <w:rPr>
          <w:b/>
          <w:sz w:val="28"/>
          <w:szCs w:val="28"/>
        </w:rPr>
        <w:t>Чамзинского  муниципального района</w:t>
      </w:r>
    </w:p>
    <w:p w:rsidR="00EE53F7" w:rsidRDefault="00EE53F7" w:rsidP="0002607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53F7" w:rsidRDefault="00026079" w:rsidP="00026079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DB0FDE">
        <w:rPr>
          <w:sz w:val="28"/>
          <w:szCs w:val="28"/>
        </w:rPr>
        <w:t>В соответствии с Федеральными законами от 21 декабря 1994</w:t>
      </w:r>
      <w:r>
        <w:rPr>
          <w:sz w:val="28"/>
          <w:szCs w:val="28"/>
        </w:rPr>
        <w:t xml:space="preserve"> г.</w:t>
      </w:r>
      <w:r w:rsidRPr="00DB0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69-ФЗ «</w:t>
      </w:r>
      <w:r w:rsidRPr="00DB0FDE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», от 22 июл</w:t>
      </w:r>
      <w:r w:rsidRPr="00DB0FDE">
        <w:rPr>
          <w:sz w:val="28"/>
          <w:szCs w:val="28"/>
        </w:rPr>
        <w:t>я 2008 г</w:t>
      </w:r>
      <w:r>
        <w:rPr>
          <w:sz w:val="28"/>
          <w:szCs w:val="28"/>
        </w:rPr>
        <w:t>.</w:t>
      </w:r>
      <w:r w:rsidRPr="00DB0FDE">
        <w:rPr>
          <w:sz w:val="28"/>
          <w:szCs w:val="28"/>
        </w:rPr>
        <w:t xml:space="preserve"> </w:t>
      </w:r>
      <w:r>
        <w:rPr>
          <w:sz w:val="28"/>
          <w:szCs w:val="28"/>
        </w:rPr>
        <w:t>№ 123-ФЗ «</w:t>
      </w:r>
      <w:r w:rsidRPr="00DB0FDE">
        <w:rPr>
          <w:sz w:val="28"/>
          <w:szCs w:val="28"/>
        </w:rPr>
        <w:t>Технический регламент о требованиях пожарной безопасности</w:t>
      </w:r>
      <w:r>
        <w:rPr>
          <w:sz w:val="28"/>
          <w:szCs w:val="28"/>
        </w:rPr>
        <w:t>»</w:t>
      </w:r>
      <w:r w:rsidRPr="00DB0FDE">
        <w:rPr>
          <w:sz w:val="28"/>
          <w:szCs w:val="28"/>
        </w:rPr>
        <w:t xml:space="preserve">,  от </w:t>
      </w:r>
      <w:r>
        <w:rPr>
          <w:sz w:val="28"/>
          <w:szCs w:val="28"/>
        </w:rPr>
        <w:t xml:space="preserve">                        6 октября 2003 г. № 131-ФЗ «</w:t>
      </w:r>
      <w:r w:rsidRPr="00DB0FD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B0FDE">
        <w:rPr>
          <w:sz w:val="28"/>
          <w:szCs w:val="28"/>
        </w:rPr>
        <w:t xml:space="preserve">,  постановлением Правительства  Российской </w:t>
      </w:r>
      <w:r w:rsidR="008D079D">
        <w:rPr>
          <w:sz w:val="28"/>
          <w:szCs w:val="28"/>
        </w:rPr>
        <w:t>Федерации  от 16</w:t>
      </w:r>
      <w:r>
        <w:rPr>
          <w:sz w:val="28"/>
          <w:szCs w:val="28"/>
        </w:rPr>
        <w:t xml:space="preserve"> </w:t>
      </w:r>
      <w:r w:rsidR="008D079D">
        <w:rPr>
          <w:sz w:val="28"/>
          <w:szCs w:val="28"/>
        </w:rPr>
        <w:t>.09.2020</w:t>
      </w:r>
      <w:r>
        <w:rPr>
          <w:sz w:val="28"/>
          <w:szCs w:val="28"/>
        </w:rPr>
        <w:t xml:space="preserve"> г.</w:t>
      </w:r>
      <w:r w:rsidRPr="00DB0FDE">
        <w:rPr>
          <w:sz w:val="28"/>
          <w:szCs w:val="28"/>
        </w:rPr>
        <w:t xml:space="preserve">  </w:t>
      </w:r>
      <w:r w:rsidR="008D079D">
        <w:rPr>
          <w:sz w:val="28"/>
          <w:szCs w:val="28"/>
        </w:rPr>
        <w:t>№ 1479</w:t>
      </w:r>
      <w:r>
        <w:rPr>
          <w:sz w:val="28"/>
          <w:szCs w:val="28"/>
        </w:rPr>
        <w:t xml:space="preserve"> «</w:t>
      </w:r>
      <w:r w:rsidR="008D079D">
        <w:rPr>
          <w:sz w:val="28"/>
          <w:szCs w:val="28"/>
        </w:rPr>
        <w:t>Об утверждении Правил</w:t>
      </w:r>
      <w:r w:rsidRPr="00DB0FDE">
        <w:rPr>
          <w:sz w:val="28"/>
          <w:szCs w:val="28"/>
        </w:rPr>
        <w:t xml:space="preserve"> противопожарного режима в Российской Федерации</w:t>
      </w:r>
      <w:r>
        <w:rPr>
          <w:sz w:val="28"/>
          <w:szCs w:val="28"/>
        </w:rPr>
        <w:t>»</w:t>
      </w:r>
      <w:r w:rsidRPr="00DB0FDE">
        <w:rPr>
          <w:sz w:val="28"/>
          <w:szCs w:val="28"/>
        </w:rPr>
        <w:t xml:space="preserve">, 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</w:t>
      </w:r>
      <w:r>
        <w:rPr>
          <w:sz w:val="28"/>
          <w:szCs w:val="28"/>
        </w:rPr>
        <w:t xml:space="preserve">Чамзинского </w:t>
      </w:r>
      <w:r w:rsidRPr="00DB0FD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</w:t>
      </w:r>
      <w:r w:rsidRPr="00DB0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Чамзинского муниципального района  Республики Мордовия</w:t>
      </w:r>
    </w:p>
    <w:p w:rsidR="00026079" w:rsidRDefault="00026079" w:rsidP="00026079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</w:p>
    <w:p w:rsidR="00026079" w:rsidRDefault="00026079" w:rsidP="00026079">
      <w:pPr>
        <w:ind w:firstLine="70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ПОСТАНОВЛЯЕТ:</w:t>
      </w:r>
    </w:p>
    <w:p w:rsidR="00026079" w:rsidRDefault="00026079" w:rsidP="00026079">
      <w:pPr>
        <w:ind w:firstLine="708"/>
        <w:jc w:val="center"/>
        <w:rPr>
          <w:b/>
          <w:color w:val="auto"/>
          <w:sz w:val="28"/>
          <w:szCs w:val="28"/>
        </w:rPr>
      </w:pPr>
    </w:p>
    <w:p w:rsidR="00026079" w:rsidRDefault="00026079" w:rsidP="00026079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DB0FDE">
        <w:rPr>
          <w:color w:val="000000" w:themeColor="text1"/>
          <w:sz w:val="28"/>
          <w:szCs w:val="28"/>
        </w:rPr>
        <w:t>Утвердить прилагаем</w:t>
      </w:r>
      <w:r>
        <w:rPr>
          <w:color w:val="000000" w:themeColor="text1"/>
          <w:sz w:val="28"/>
          <w:szCs w:val="28"/>
        </w:rPr>
        <w:t>ые:</w:t>
      </w:r>
    </w:p>
    <w:p w:rsidR="00026079" w:rsidRDefault="00026079" w:rsidP="00026079">
      <w:pPr>
        <w:pStyle w:val="a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- п</w:t>
      </w:r>
      <w:r w:rsidRPr="00DB0FDE">
        <w:rPr>
          <w:color w:val="000000" w:themeColor="text1"/>
          <w:sz w:val="28"/>
          <w:szCs w:val="28"/>
        </w:rPr>
        <w:t xml:space="preserve">оложение об обеспечении первичных мер пожарной безопасности на территории </w:t>
      </w:r>
      <w:r>
        <w:rPr>
          <w:color w:val="000000" w:themeColor="text1"/>
          <w:sz w:val="28"/>
          <w:szCs w:val="28"/>
        </w:rPr>
        <w:t xml:space="preserve">Чамзинского </w:t>
      </w:r>
      <w:r w:rsidRPr="00DB0FDE">
        <w:rPr>
          <w:color w:val="000000" w:themeColor="text1"/>
          <w:sz w:val="28"/>
          <w:szCs w:val="28"/>
        </w:rPr>
        <w:t>муниципального р</w:t>
      </w:r>
      <w:r>
        <w:rPr>
          <w:color w:val="000000" w:themeColor="text1"/>
          <w:sz w:val="28"/>
          <w:szCs w:val="28"/>
        </w:rPr>
        <w:t>айона прилагается согласно Приложению 1.</w:t>
      </w:r>
    </w:p>
    <w:p w:rsidR="00026079" w:rsidRDefault="00026079" w:rsidP="00026079">
      <w:pPr>
        <w:pStyle w:val="a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- перечень средств пожаротушения и противопожарного инвентаря для помещений и строений, находящихся в собственности (пользовании) граждан</w:t>
      </w:r>
      <w:r w:rsidR="00631022">
        <w:rPr>
          <w:color w:val="000000" w:themeColor="text1"/>
          <w:sz w:val="28"/>
          <w:szCs w:val="28"/>
        </w:rPr>
        <w:t xml:space="preserve"> согласно Приложению 2.</w:t>
      </w:r>
    </w:p>
    <w:p w:rsidR="00026079" w:rsidRDefault="00026079" w:rsidP="00026079">
      <w:pPr>
        <w:pStyle w:val="a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- нормы оснащений помещений ручными огнетушителями</w:t>
      </w:r>
      <w:r w:rsidR="00267276">
        <w:rPr>
          <w:color w:val="000000" w:themeColor="text1"/>
          <w:sz w:val="28"/>
          <w:szCs w:val="28"/>
        </w:rPr>
        <w:t xml:space="preserve"> согласно Приложению 3.</w:t>
      </w:r>
    </w:p>
    <w:p w:rsidR="00026079" w:rsidRPr="00DB0FDE" w:rsidRDefault="00026079" w:rsidP="00026079">
      <w:pPr>
        <w:pStyle w:val="a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- перечень первичных средств пожаротушения для индивидуальных жилых домов частного сектора Чамзинского муниципального района</w:t>
      </w:r>
      <w:r w:rsidR="00267276">
        <w:rPr>
          <w:color w:val="000000" w:themeColor="text1"/>
          <w:sz w:val="28"/>
          <w:szCs w:val="28"/>
        </w:rPr>
        <w:t xml:space="preserve"> согласно Приложению 4</w:t>
      </w:r>
      <w:r>
        <w:rPr>
          <w:color w:val="000000" w:themeColor="text1"/>
          <w:sz w:val="28"/>
          <w:szCs w:val="28"/>
        </w:rPr>
        <w:t>.</w:t>
      </w:r>
    </w:p>
    <w:p w:rsidR="00026079" w:rsidRPr="00DB0FDE" w:rsidRDefault="00026079" w:rsidP="00026079">
      <w:pPr>
        <w:pStyle w:val="a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DB0FDE">
        <w:rPr>
          <w:color w:val="000000" w:themeColor="text1"/>
          <w:sz w:val="28"/>
          <w:szCs w:val="28"/>
        </w:rPr>
        <w:t>2. Рекомендовать руководителям организаций всех форм собственности и гражданам района для предотвращения пожаров:</w:t>
      </w:r>
    </w:p>
    <w:p w:rsidR="00026079" w:rsidRDefault="00026079" w:rsidP="00026079">
      <w:pPr>
        <w:pStyle w:val="a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EF050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 </w:t>
      </w:r>
      <w:r w:rsidRPr="00DB0FDE">
        <w:rPr>
          <w:color w:val="000000" w:themeColor="text1"/>
          <w:sz w:val="28"/>
          <w:szCs w:val="28"/>
        </w:rPr>
        <w:t xml:space="preserve">обеспечить выполнение мер пожарной безопасности на территории </w:t>
      </w:r>
      <w:r w:rsidR="00D65D06">
        <w:rPr>
          <w:color w:val="000000" w:themeColor="text1"/>
          <w:sz w:val="28"/>
          <w:szCs w:val="28"/>
        </w:rPr>
        <w:t xml:space="preserve">Чамзинского </w:t>
      </w:r>
      <w:r w:rsidRPr="00DB0FDE">
        <w:rPr>
          <w:color w:val="000000" w:themeColor="text1"/>
          <w:sz w:val="28"/>
          <w:szCs w:val="28"/>
        </w:rPr>
        <w:t>муниципального района, установленных Федеральным законом от 22 ию</w:t>
      </w:r>
      <w:r>
        <w:rPr>
          <w:color w:val="000000" w:themeColor="text1"/>
          <w:sz w:val="28"/>
          <w:szCs w:val="28"/>
        </w:rPr>
        <w:t>л</w:t>
      </w:r>
      <w:r w:rsidRPr="00DB0FDE">
        <w:rPr>
          <w:color w:val="000000" w:themeColor="text1"/>
          <w:sz w:val="28"/>
          <w:szCs w:val="28"/>
        </w:rPr>
        <w:t>я 2008 г</w:t>
      </w:r>
      <w:r>
        <w:rPr>
          <w:color w:val="000000" w:themeColor="text1"/>
          <w:sz w:val="28"/>
          <w:szCs w:val="28"/>
        </w:rPr>
        <w:t>. № 123-ФЗ «</w:t>
      </w:r>
      <w:r w:rsidRPr="00DB0FDE">
        <w:rPr>
          <w:color w:val="000000" w:themeColor="text1"/>
          <w:sz w:val="28"/>
          <w:szCs w:val="28"/>
        </w:rPr>
        <w:t xml:space="preserve">Технический регламент о требованиях </w:t>
      </w:r>
      <w:r w:rsidRPr="00DB0FDE">
        <w:rPr>
          <w:color w:val="000000" w:themeColor="text1"/>
          <w:sz w:val="28"/>
          <w:szCs w:val="28"/>
        </w:rPr>
        <w:lastRenderedPageBreak/>
        <w:t>пожарной безопасности</w:t>
      </w:r>
      <w:r>
        <w:rPr>
          <w:color w:val="000000" w:themeColor="text1"/>
          <w:sz w:val="28"/>
          <w:szCs w:val="28"/>
        </w:rPr>
        <w:t>»</w:t>
      </w:r>
      <w:r w:rsidRPr="00DB0FD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</w:t>
      </w:r>
      <w:r w:rsidRPr="00DB0FDE">
        <w:rPr>
          <w:color w:val="000000" w:themeColor="text1"/>
          <w:sz w:val="28"/>
          <w:szCs w:val="28"/>
        </w:rPr>
        <w:t>остановлением Правительства  Р</w:t>
      </w:r>
      <w:r>
        <w:rPr>
          <w:color w:val="000000" w:themeColor="text1"/>
          <w:sz w:val="28"/>
          <w:szCs w:val="28"/>
        </w:rPr>
        <w:t>оссийской Федерации</w:t>
      </w:r>
      <w:r w:rsidR="008D079D">
        <w:rPr>
          <w:color w:val="000000" w:themeColor="text1"/>
          <w:sz w:val="28"/>
          <w:szCs w:val="28"/>
        </w:rPr>
        <w:t xml:space="preserve"> от 16.09.</w:t>
      </w:r>
      <w:r>
        <w:rPr>
          <w:color w:val="000000" w:themeColor="text1"/>
          <w:sz w:val="28"/>
          <w:szCs w:val="28"/>
        </w:rPr>
        <w:t xml:space="preserve"> </w:t>
      </w:r>
      <w:r w:rsidR="008D079D">
        <w:rPr>
          <w:color w:val="000000" w:themeColor="text1"/>
          <w:sz w:val="28"/>
          <w:szCs w:val="28"/>
        </w:rPr>
        <w:t>2020</w:t>
      </w:r>
      <w:r w:rsidRPr="00DB0FDE">
        <w:rPr>
          <w:color w:val="000000" w:themeColor="text1"/>
          <w:sz w:val="28"/>
          <w:szCs w:val="28"/>
        </w:rPr>
        <w:t xml:space="preserve"> </w:t>
      </w:r>
      <w:r w:rsidR="008D079D">
        <w:rPr>
          <w:color w:val="000000" w:themeColor="text1"/>
          <w:sz w:val="28"/>
          <w:szCs w:val="28"/>
        </w:rPr>
        <w:t xml:space="preserve"> г. № 1479</w:t>
      </w:r>
      <w:r>
        <w:rPr>
          <w:color w:val="000000" w:themeColor="text1"/>
          <w:sz w:val="28"/>
          <w:szCs w:val="28"/>
        </w:rPr>
        <w:t xml:space="preserve"> «</w:t>
      </w:r>
      <w:r w:rsidR="008D079D">
        <w:rPr>
          <w:color w:val="000000" w:themeColor="text1"/>
          <w:sz w:val="28"/>
          <w:szCs w:val="28"/>
        </w:rPr>
        <w:t>Об утверждении Правил</w:t>
      </w:r>
      <w:r w:rsidRPr="00DB0FDE">
        <w:rPr>
          <w:color w:val="000000" w:themeColor="text1"/>
          <w:sz w:val="28"/>
          <w:szCs w:val="28"/>
        </w:rPr>
        <w:t xml:space="preserve"> противопожарного режима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DB0FDE">
        <w:rPr>
          <w:color w:val="000000" w:themeColor="text1"/>
          <w:sz w:val="28"/>
          <w:szCs w:val="28"/>
        </w:rPr>
        <w:t>, другими документами и нормами пожарной безопасности;</w:t>
      </w:r>
    </w:p>
    <w:p w:rsidR="00026079" w:rsidRPr="00DB0FDE" w:rsidRDefault="00026079" w:rsidP="00026079">
      <w:pPr>
        <w:pStyle w:val="a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8D079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B0FDE">
        <w:rPr>
          <w:color w:val="000000" w:themeColor="text1"/>
          <w:sz w:val="28"/>
          <w:szCs w:val="28"/>
        </w:rPr>
        <w:t xml:space="preserve">оснастить находящиеся в собственности (пользовании) помещения и строения первичными средствами </w:t>
      </w:r>
      <w:r w:rsidR="008D079D">
        <w:rPr>
          <w:color w:val="000000" w:themeColor="text1"/>
          <w:sz w:val="28"/>
          <w:szCs w:val="28"/>
        </w:rPr>
        <w:t>пожаротушения и противопожарным инвентарем</w:t>
      </w:r>
      <w:r w:rsidRPr="00DB0FDE">
        <w:rPr>
          <w:color w:val="000000" w:themeColor="text1"/>
          <w:sz w:val="28"/>
          <w:szCs w:val="28"/>
        </w:rPr>
        <w:t xml:space="preserve"> согласно </w:t>
      </w:r>
      <w:r>
        <w:rPr>
          <w:color w:val="000000" w:themeColor="text1"/>
          <w:sz w:val="28"/>
          <w:szCs w:val="28"/>
        </w:rPr>
        <w:t>прилагаемому перечню</w:t>
      </w:r>
      <w:r w:rsidRPr="00DB0FDE">
        <w:rPr>
          <w:color w:val="000000" w:themeColor="text1"/>
          <w:sz w:val="28"/>
          <w:szCs w:val="28"/>
        </w:rPr>
        <w:t>;</w:t>
      </w:r>
    </w:p>
    <w:p w:rsidR="00026079" w:rsidRPr="00DB0FDE" w:rsidRDefault="00026079" w:rsidP="00026079">
      <w:pPr>
        <w:pStyle w:val="a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8D079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 </w:t>
      </w:r>
      <w:r w:rsidRPr="00DB0FDE">
        <w:rPr>
          <w:color w:val="000000" w:themeColor="text1"/>
          <w:sz w:val="28"/>
          <w:szCs w:val="28"/>
        </w:rPr>
        <w:t>производить расчет оснащения помещений ручными огнетушителями согласно</w:t>
      </w:r>
      <w:r>
        <w:rPr>
          <w:color w:val="000000" w:themeColor="text1"/>
          <w:sz w:val="28"/>
          <w:szCs w:val="28"/>
        </w:rPr>
        <w:t xml:space="preserve"> прилагаемым</w:t>
      </w:r>
      <w:r w:rsidRPr="00DB0FDE">
        <w:rPr>
          <w:color w:val="000000" w:themeColor="text1"/>
          <w:sz w:val="28"/>
          <w:szCs w:val="28"/>
        </w:rPr>
        <w:t xml:space="preserve"> нормам;</w:t>
      </w:r>
    </w:p>
    <w:p w:rsidR="00026079" w:rsidRPr="00E3606C" w:rsidRDefault="00026079" w:rsidP="000260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079D">
        <w:rPr>
          <w:sz w:val="28"/>
          <w:szCs w:val="28"/>
        </w:rPr>
        <w:t>-</w:t>
      </w:r>
      <w:r w:rsidRPr="00E3606C">
        <w:rPr>
          <w:sz w:val="28"/>
          <w:szCs w:val="28"/>
        </w:rPr>
        <w:t xml:space="preserve">разместить в индивидуальных жилых домах </w:t>
      </w:r>
      <w:r w:rsidR="00D65D06">
        <w:rPr>
          <w:sz w:val="28"/>
          <w:szCs w:val="28"/>
        </w:rPr>
        <w:t xml:space="preserve">Чамзинского </w:t>
      </w:r>
      <w:r w:rsidRPr="00E3606C">
        <w:rPr>
          <w:sz w:val="28"/>
          <w:szCs w:val="28"/>
        </w:rPr>
        <w:t>муниципального района первичные средства пожаротушения согласно прилагаемому перечню.</w:t>
      </w:r>
    </w:p>
    <w:p w:rsidR="00026079" w:rsidRPr="00E3606C" w:rsidRDefault="00026079" w:rsidP="00026079">
      <w:pPr>
        <w:pStyle w:val="a8"/>
        <w:jc w:val="both"/>
        <w:rPr>
          <w:sz w:val="28"/>
          <w:szCs w:val="28"/>
        </w:rPr>
      </w:pPr>
      <w:r w:rsidRPr="00E3606C">
        <w:rPr>
          <w:sz w:val="28"/>
          <w:szCs w:val="28"/>
        </w:rPr>
        <w:t xml:space="preserve">       3. Рекомендовать главам</w:t>
      </w:r>
      <w:r w:rsidR="008D079D">
        <w:rPr>
          <w:sz w:val="28"/>
          <w:szCs w:val="28"/>
        </w:rPr>
        <w:t xml:space="preserve"> городских и сельских</w:t>
      </w:r>
      <w:r w:rsidRPr="00E3606C">
        <w:rPr>
          <w:sz w:val="28"/>
          <w:szCs w:val="28"/>
        </w:rPr>
        <w:t xml:space="preserve"> поселений:</w:t>
      </w:r>
    </w:p>
    <w:p w:rsidR="00026079" w:rsidRPr="00E3606C" w:rsidRDefault="00026079" w:rsidP="000260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079D">
        <w:rPr>
          <w:sz w:val="28"/>
          <w:szCs w:val="28"/>
        </w:rPr>
        <w:t>-</w:t>
      </w:r>
      <w:r w:rsidRPr="00E3606C">
        <w:rPr>
          <w:sz w:val="28"/>
          <w:szCs w:val="28"/>
        </w:rPr>
        <w:t>разработать меры пожарной безопасности на территориях сельских поселений;</w:t>
      </w:r>
    </w:p>
    <w:p w:rsidR="00026079" w:rsidRPr="00E3606C" w:rsidRDefault="00026079" w:rsidP="000260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07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606C">
        <w:rPr>
          <w:sz w:val="28"/>
          <w:szCs w:val="28"/>
        </w:rPr>
        <w:t>обеспечить выполнение требований мер пожарной безопасности на подведомственных объектах и территориях;</w:t>
      </w:r>
    </w:p>
    <w:p w:rsidR="00026079" w:rsidRPr="00E3606C" w:rsidRDefault="00026079" w:rsidP="000260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07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606C">
        <w:rPr>
          <w:sz w:val="28"/>
          <w:szCs w:val="28"/>
        </w:rPr>
        <w:t>включить мероприятия по обеспечению пожарной безопасности в планы, схемы и программы развития поселений;</w:t>
      </w:r>
    </w:p>
    <w:p w:rsidR="00026079" w:rsidRPr="00E3606C" w:rsidRDefault="00026079" w:rsidP="000260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079D">
        <w:rPr>
          <w:sz w:val="28"/>
          <w:szCs w:val="28"/>
        </w:rPr>
        <w:t>-</w:t>
      </w:r>
      <w:r w:rsidRPr="00B206C6">
        <w:rPr>
          <w:sz w:val="28"/>
          <w:szCs w:val="28"/>
        </w:rPr>
        <w:t>разработать мероприятия для организации добровольной пожарной охраны на территории поселений и в сельских населенных пунктах, а также для участия граждан в обеспечении мер пожарной безопасности в иных формах;</w:t>
      </w:r>
    </w:p>
    <w:p w:rsidR="00026079" w:rsidRDefault="00026079" w:rsidP="00026079">
      <w:pPr>
        <w:pStyle w:val="a8"/>
        <w:jc w:val="both"/>
        <w:rPr>
          <w:sz w:val="28"/>
          <w:szCs w:val="28"/>
        </w:rPr>
      </w:pPr>
      <w:r w:rsidRPr="00E3606C">
        <w:rPr>
          <w:sz w:val="28"/>
          <w:szCs w:val="28"/>
        </w:rPr>
        <w:t xml:space="preserve">       </w:t>
      </w:r>
      <w:r w:rsidR="008D079D">
        <w:rPr>
          <w:sz w:val="28"/>
          <w:szCs w:val="28"/>
        </w:rPr>
        <w:t>-</w:t>
      </w:r>
      <w:r w:rsidRPr="00E3606C">
        <w:rPr>
          <w:sz w:val="28"/>
          <w:szCs w:val="28"/>
        </w:rPr>
        <w:t xml:space="preserve"> </w:t>
      </w:r>
      <w:r w:rsidRPr="00B206C6">
        <w:rPr>
          <w:sz w:val="28"/>
          <w:szCs w:val="28"/>
        </w:rPr>
        <w:t xml:space="preserve">организовать </w:t>
      </w:r>
      <w:proofErr w:type="gramStart"/>
      <w:r w:rsidRPr="00B206C6">
        <w:rPr>
          <w:sz w:val="28"/>
          <w:szCs w:val="28"/>
        </w:rPr>
        <w:t xml:space="preserve">контроль </w:t>
      </w:r>
      <w:r w:rsidR="00284B67">
        <w:rPr>
          <w:sz w:val="28"/>
          <w:szCs w:val="28"/>
        </w:rPr>
        <w:t xml:space="preserve"> </w:t>
      </w:r>
      <w:r w:rsidRPr="00B206C6">
        <w:rPr>
          <w:sz w:val="28"/>
          <w:szCs w:val="28"/>
        </w:rPr>
        <w:t>за</w:t>
      </w:r>
      <w:proofErr w:type="gramEnd"/>
      <w:r w:rsidRPr="00B206C6">
        <w:rPr>
          <w:sz w:val="28"/>
          <w:szCs w:val="28"/>
        </w:rPr>
        <w:t xml:space="preserve"> выполнением мер пожарной безопасности при эксплуатации частного жилого фонда, расположенного на территории населенных пунктов;</w:t>
      </w:r>
    </w:p>
    <w:p w:rsidR="008D079D" w:rsidRPr="00E3606C" w:rsidRDefault="008D079D" w:rsidP="008D079D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D079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Руководителю аппарата Администрации Чамзинского муниципального района довести настоящие постановление до сведения заинтересованных лиц.</w:t>
      </w:r>
    </w:p>
    <w:p w:rsidR="00026079" w:rsidRDefault="008D079D" w:rsidP="00D65D06">
      <w:pPr>
        <w:pStyle w:val="a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026079">
        <w:rPr>
          <w:color w:val="000000" w:themeColor="text1"/>
          <w:sz w:val="28"/>
          <w:szCs w:val="28"/>
        </w:rPr>
        <w:t>.</w:t>
      </w:r>
      <w:r w:rsidR="00D65D06" w:rsidRPr="00D65D06">
        <w:rPr>
          <w:sz w:val="28"/>
          <w:szCs w:val="28"/>
        </w:rPr>
        <w:t xml:space="preserve"> </w:t>
      </w:r>
      <w:r w:rsidR="00D65D06" w:rsidRPr="00C006BA">
        <w:rPr>
          <w:sz w:val="28"/>
          <w:szCs w:val="28"/>
        </w:rPr>
        <w:t>Контроль за исполнением настоящего постановления возложить на заместителя Главы Чамзинского муниципального района, Первого заместителя председателя КЧС и ОПБ района Тюр</w:t>
      </w:r>
      <w:r w:rsidR="00EF0504">
        <w:rPr>
          <w:sz w:val="28"/>
          <w:szCs w:val="28"/>
        </w:rPr>
        <w:t>я</w:t>
      </w:r>
      <w:r w:rsidR="00D65D06" w:rsidRPr="00C006BA">
        <w:rPr>
          <w:sz w:val="28"/>
          <w:szCs w:val="28"/>
        </w:rPr>
        <w:t>кина А.</w:t>
      </w:r>
      <w:proofErr w:type="gramStart"/>
      <w:r w:rsidR="00D65D06" w:rsidRPr="00C006BA">
        <w:rPr>
          <w:sz w:val="28"/>
          <w:szCs w:val="28"/>
        </w:rPr>
        <w:t>Ю</w:t>
      </w:r>
      <w:proofErr w:type="gramEnd"/>
    </w:p>
    <w:p w:rsidR="00D65D06" w:rsidRPr="001662A1" w:rsidRDefault="008D079D" w:rsidP="00D65D06">
      <w:pPr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7</w:t>
      </w:r>
      <w:r w:rsidR="00D65D06">
        <w:rPr>
          <w:sz w:val="28"/>
          <w:szCs w:val="28"/>
        </w:rPr>
        <w:t>.</w:t>
      </w:r>
      <w:r w:rsidR="00D65D06" w:rsidRPr="00D65D06">
        <w:rPr>
          <w:spacing w:val="3"/>
          <w:sz w:val="28"/>
          <w:szCs w:val="28"/>
        </w:rPr>
        <w:t xml:space="preserve"> </w:t>
      </w:r>
      <w:r w:rsidR="00D65D06" w:rsidRPr="00E30389">
        <w:rPr>
          <w:spacing w:val="3"/>
          <w:sz w:val="28"/>
          <w:szCs w:val="28"/>
        </w:rPr>
        <w:t xml:space="preserve">Настоящее постановление вступает </w:t>
      </w:r>
      <w:r w:rsidR="00D65D06">
        <w:rPr>
          <w:spacing w:val="3"/>
          <w:sz w:val="28"/>
          <w:szCs w:val="28"/>
        </w:rPr>
        <w:t>в силу после</w:t>
      </w:r>
      <w:r w:rsidR="00D65D06" w:rsidRPr="00E30389">
        <w:rPr>
          <w:spacing w:val="3"/>
          <w:sz w:val="28"/>
          <w:szCs w:val="28"/>
        </w:rPr>
        <w:t xml:space="preserve"> дня его официального опубликования в Информационном бюллетене Чамзинского муниципального </w:t>
      </w:r>
      <w:r w:rsidR="00D65D06" w:rsidRPr="001662A1">
        <w:rPr>
          <w:spacing w:val="3"/>
          <w:sz w:val="28"/>
          <w:szCs w:val="28"/>
        </w:rPr>
        <w:t>района.</w:t>
      </w:r>
    </w:p>
    <w:p w:rsidR="00D65D06" w:rsidRPr="00DB0FDE" w:rsidRDefault="00D65D06" w:rsidP="00D65D06">
      <w:pPr>
        <w:pStyle w:val="a8"/>
        <w:ind w:firstLine="709"/>
        <w:jc w:val="both"/>
        <w:rPr>
          <w:color w:val="000000" w:themeColor="text1"/>
          <w:sz w:val="28"/>
          <w:szCs w:val="28"/>
        </w:rPr>
      </w:pPr>
    </w:p>
    <w:p w:rsidR="00026079" w:rsidRDefault="00026079" w:rsidP="00026079">
      <w:pPr>
        <w:ind w:firstLine="708"/>
        <w:rPr>
          <w:b/>
          <w:color w:val="auto"/>
          <w:sz w:val="28"/>
          <w:szCs w:val="28"/>
        </w:rPr>
      </w:pPr>
    </w:p>
    <w:p w:rsidR="007E4E2D" w:rsidRDefault="007E4E2D" w:rsidP="003C1A34">
      <w:pPr>
        <w:ind w:firstLine="708"/>
        <w:jc w:val="both"/>
        <w:rPr>
          <w:color w:val="auto"/>
          <w:sz w:val="28"/>
          <w:szCs w:val="28"/>
        </w:rPr>
      </w:pPr>
    </w:p>
    <w:p w:rsidR="007E4E2D" w:rsidRPr="003C1A34" w:rsidRDefault="007E4E2D" w:rsidP="003C1A34">
      <w:pPr>
        <w:ind w:firstLine="708"/>
        <w:jc w:val="both"/>
        <w:rPr>
          <w:color w:val="auto"/>
          <w:sz w:val="28"/>
          <w:szCs w:val="28"/>
        </w:rPr>
      </w:pPr>
    </w:p>
    <w:p w:rsidR="00F519C8" w:rsidRPr="00D65D06" w:rsidRDefault="003C1A34" w:rsidP="003C1A34">
      <w:pPr>
        <w:jc w:val="both"/>
        <w:rPr>
          <w:color w:val="auto"/>
          <w:sz w:val="28"/>
          <w:szCs w:val="28"/>
        </w:rPr>
      </w:pPr>
      <w:r w:rsidRPr="00D65D06">
        <w:rPr>
          <w:color w:val="auto"/>
          <w:sz w:val="28"/>
          <w:szCs w:val="28"/>
        </w:rPr>
        <w:t xml:space="preserve">Глава </w:t>
      </w:r>
      <w:r w:rsidR="00974865" w:rsidRPr="00D65D06">
        <w:rPr>
          <w:color w:val="auto"/>
          <w:sz w:val="28"/>
          <w:szCs w:val="28"/>
        </w:rPr>
        <w:t xml:space="preserve">Чамзинского </w:t>
      </w:r>
    </w:p>
    <w:p w:rsidR="00974865" w:rsidRPr="00D65D06" w:rsidRDefault="00974865" w:rsidP="003C1A34">
      <w:pPr>
        <w:jc w:val="both"/>
        <w:rPr>
          <w:color w:val="auto"/>
          <w:sz w:val="28"/>
          <w:szCs w:val="28"/>
        </w:rPr>
      </w:pPr>
      <w:r w:rsidRPr="00D65D06">
        <w:rPr>
          <w:color w:val="auto"/>
          <w:sz w:val="28"/>
          <w:szCs w:val="28"/>
        </w:rPr>
        <w:t xml:space="preserve">муниципального района           </w:t>
      </w:r>
      <w:r w:rsidR="007E4E2D" w:rsidRPr="00D65D06">
        <w:rPr>
          <w:color w:val="auto"/>
          <w:sz w:val="28"/>
          <w:szCs w:val="28"/>
        </w:rPr>
        <w:t xml:space="preserve">        </w:t>
      </w:r>
      <w:r w:rsidRPr="00D65D06">
        <w:rPr>
          <w:color w:val="auto"/>
          <w:sz w:val="28"/>
          <w:szCs w:val="28"/>
        </w:rPr>
        <w:t xml:space="preserve">                 </w:t>
      </w:r>
      <w:r w:rsidR="00F519C8" w:rsidRPr="00D65D06">
        <w:rPr>
          <w:color w:val="auto"/>
          <w:sz w:val="28"/>
          <w:szCs w:val="28"/>
        </w:rPr>
        <w:t xml:space="preserve">                  </w:t>
      </w:r>
      <w:r w:rsidRPr="00D65D06">
        <w:rPr>
          <w:color w:val="auto"/>
          <w:sz w:val="28"/>
          <w:szCs w:val="28"/>
        </w:rPr>
        <w:t xml:space="preserve">  </w:t>
      </w:r>
      <w:r w:rsidR="00D65D06" w:rsidRPr="00D65D06">
        <w:rPr>
          <w:color w:val="auto"/>
          <w:sz w:val="28"/>
          <w:szCs w:val="28"/>
        </w:rPr>
        <w:t xml:space="preserve">      </w:t>
      </w:r>
      <w:r w:rsidRPr="00D65D06">
        <w:rPr>
          <w:color w:val="auto"/>
          <w:sz w:val="28"/>
          <w:szCs w:val="28"/>
        </w:rPr>
        <w:t xml:space="preserve"> </w:t>
      </w:r>
      <w:r w:rsidR="00D65D06">
        <w:rPr>
          <w:color w:val="auto"/>
          <w:sz w:val="28"/>
          <w:szCs w:val="28"/>
        </w:rPr>
        <w:t xml:space="preserve">   </w:t>
      </w:r>
      <w:r w:rsidR="00D65D06" w:rsidRPr="00D65D06">
        <w:rPr>
          <w:color w:val="auto"/>
          <w:sz w:val="28"/>
          <w:szCs w:val="28"/>
        </w:rPr>
        <w:t>А.В</w:t>
      </w:r>
      <w:r w:rsidRPr="00D65D06">
        <w:rPr>
          <w:color w:val="auto"/>
          <w:sz w:val="28"/>
          <w:szCs w:val="28"/>
        </w:rPr>
        <w:t xml:space="preserve">. </w:t>
      </w:r>
      <w:r w:rsidR="00D65D06" w:rsidRPr="00D65D06">
        <w:rPr>
          <w:color w:val="auto"/>
          <w:sz w:val="28"/>
          <w:szCs w:val="28"/>
        </w:rPr>
        <w:t>Сазанов</w:t>
      </w:r>
    </w:p>
    <w:p w:rsidR="001B4B42" w:rsidRDefault="003C1A34" w:rsidP="00D65D06">
      <w:pPr>
        <w:jc w:val="right"/>
        <w:rPr>
          <w:sz w:val="28"/>
          <w:szCs w:val="28"/>
        </w:rPr>
      </w:pPr>
      <w:r w:rsidRPr="00D65D06">
        <w:rPr>
          <w:rStyle w:val="a5"/>
          <w:bCs/>
          <w:color w:val="auto"/>
          <w:sz w:val="28"/>
          <w:szCs w:val="28"/>
        </w:rPr>
        <w:br w:type="page"/>
      </w:r>
      <w:r w:rsidR="00D65D06">
        <w:rPr>
          <w:sz w:val="28"/>
          <w:szCs w:val="28"/>
        </w:rPr>
        <w:lastRenderedPageBreak/>
        <w:t xml:space="preserve"> </w:t>
      </w:r>
    </w:p>
    <w:p w:rsidR="00D65D06" w:rsidRDefault="00D65D06" w:rsidP="00D65D06">
      <w:pPr>
        <w:pStyle w:val="a8"/>
        <w:jc w:val="right"/>
      </w:pPr>
      <w:r>
        <w:t>Приложение 1</w:t>
      </w:r>
    </w:p>
    <w:p w:rsidR="00D65D06" w:rsidRPr="00D65D06" w:rsidRDefault="00D65D06" w:rsidP="00D65D06">
      <w:pPr>
        <w:pStyle w:val="a8"/>
        <w:jc w:val="right"/>
      </w:pPr>
      <w:r w:rsidRPr="00D65D06">
        <w:t>к постановлению Администрации</w:t>
      </w:r>
    </w:p>
    <w:p w:rsidR="00D65D06" w:rsidRPr="00D65D06" w:rsidRDefault="00D65D06" w:rsidP="00D65D06">
      <w:pPr>
        <w:pStyle w:val="a8"/>
        <w:jc w:val="right"/>
      </w:pPr>
      <w:r w:rsidRPr="00D65D06">
        <w:t xml:space="preserve"> Чамзинского муниципального района</w:t>
      </w:r>
    </w:p>
    <w:p w:rsidR="00D65D06" w:rsidRDefault="00D65D06" w:rsidP="00D65D06">
      <w:pPr>
        <w:pStyle w:val="a8"/>
        <w:jc w:val="right"/>
      </w:pPr>
      <w:r w:rsidRPr="00D65D06">
        <w:t xml:space="preserve"> от _______2024 №____</w:t>
      </w:r>
    </w:p>
    <w:p w:rsidR="00D65D06" w:rsidRDefault="00D65D06" w:rsidP="00D65D06">
      <w:pPr>
        <w:pStyle w:val="a8"/>
        <w:jc w:val="right"/>
      </w:pPr>
    </w:p>
    <w:p w:rsidR="00D65D06" w:rsidRDefault="00D65D06" w:rsidP="00D65D06">
      <w:pPr>
        <w:pStyle w:val="a8"/>
        <w:jc w:val="right"/>
        <w:rPr>
          <w:color w:val="000000" w:themeColor="text1"/>
        </w:rPr>
      </w:pPr>
    </w:p>
    <w:p w:rsidR="00D65D06" w:rsidRPr="00D65D06" w:rsidRDefault="00D65D06" w:rsidP="00D65D06">
      <w:pPr>
        <w:pStyle w:val="a8"/>
        <w:jc w:val="right"/>
        <w:rPr>
          <w:color w:val="000000" w:themeColor="text1"/>
        </w:rPr>
      </w:pPr>
    </w:p>
    <w:p w:rsidR="00D65D06" w:rsidRPr="00773CCD" w:rsidRDefault="00D65D06" w:rsidP="00D65D06">
      <w:pPr>
        <w:pStyle w:val="a8"/>
        <w:jc w:val="center"/>
        <w:rPr>
          <w:b/>
          <w:sz w:val="28"/>
          <w:szCs w:val="28"/>
        </w:rPr>
      </w:pPr>
      <w:r w:rsidRPr="00773CCD">
        <w:rPr>
          <w:b/>
          <w:sz w:val="28"/>
          <w:szCs w:val="28"/>
        </w:rPr>
        <w:t>ПОЛОЖЕНИЕ</w:t>
      </w:r>
    </w:p>
    <w:p w:rsidR="00D65D06" w:rsidRPr="00773CCD" w:rsidRDefault="00D65D06" w:rsidP="00D65D06">
      <w:pPr>
        <w:pStyle w:val="a8"/>
        <w:jc w:val="center"/>
        <w:rPr>
          <w:b/>
          <w:sz w:val="28"/>
          <w:szCs w:val="28"/>
        </w:rPr>
      </w:pPr>
      <w:r w:rsidRPr="00773CCD">
        <w:rPr>
          <w:b/>
          <w:sz w:val="28"/>
          <w:szCs w:val="28"/>
        </w:rPr>
        <w:t xml:space="preserve">ОБ ОБЕСПЕЧЕНИИ ПЕРВИЧНЫХ МЕР ПОЖАРНОЙ БЕЗОПАСНОСТИ НА ТЕРРИТОРИИ </w:t>
      </w:r>
      <w:r>
        <w:rPr>
          <w:b/>
          <w:sz w:val="28"/>
          <w:szCs w:val="28"/>
        </w:rPr>
        <w:t xml:space="preserve">ЧАМЗИНСКОГО </w:t>
      </w:r>
      <w:r w:rsidRPr="00773CCD">
        <w:rPr>
          <w:b/>
          <w:sz w:val="28"/>
          <w:szCs w:val="28"/>
        </w:rPr>
        <w:t>МУНИЦИПАЛЬНОГО РАЙОНА</w:t>
      </w:r>
    </w:p>
    <w:p w:rsidR="00D65D06" w:rsidRPr="00773CCD" w:rsidRDefault="00D65D06" w:rsidP="00D65D06">
      <w:pPr>
        <w:pStyle w:val="a8"/>
        <w:jc w:val="center"/>
        <w:rPr>
          <w:sz w:val="28"/>
          <w:szCs w:val="28"/>
        </w:rPr>
      </w:pPr>
    </w:p>
    <w:p w:rsidR="00D65D06" w:rsidRPr="00773CCD" w:rsidRDefault="00D65D06" w:rsidP="00D65D06">
      <w:pPr>
        <w:shd w:val="clear" w:color="auto" w:fill="FFFFFF"/>
        <w:spacing w:line="360" w:lineRule="atLeast"/>
        <w:jc w:val="center"/>
        <w:rPr>
          <w:rFonts w:eastAsia="Times New Roman"/>
          <w:b/>
          <w:color w:val="000000" w:themeColor="text1"/>
          <w:lang w:eastAsia="ru-RU"/>
        </w:rPr>
      </w:pPr>
      <w:r w:rsidRPr="00773CCD">
        <w:rPr>
          <w:rFonts w:eastAsia="Times New Roman"/>
          <w:b/>
          <w:color w:val="000000" w:themeColor="text1"/>
          <w:lang w:eastAsia="ru-RU"/>
        </w:rPr>
        <w:t>Глава 1. ОБЩИЕ ПОЛОЖЕНИЯ</w:t>
      </w:r>
    </w:p>
    <w:p w:rsidR="00D65D06" w:rsidRPr="00773CCD" w:rsidRDefault="00D65D06" w:rsidP="00D65D06">
      <w:pPr>
        <w:shd w:val="clear" w:color="auto" w:fill="FFFFFF"/>
        <w:spacing w:line="360" w:lineRule="atLeast"/>
        <w:rPr>
          <w:rFonts w:eastAsia="Times New Roman"/>
          <w:b/>
          <w:color w:val="000000" w:themeColor="text1"/>
          <w:lang w:eastAsia="ru-RU"/>
        </w:rPr>
      </w:pP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3CCD">
        <w:rPr>
          <w:sz w:val="28"/>
          <w:szCs w:val="28"/>
        </w:rPr>
        <w:t xml:space="preserve">1. Настоящее Положение регулирует вопросы обеспечения первичных мер пожарной безопасности на территории </w:t>
      </w:r>
      <w:r>
        <w:rPr>
          <w:sz w:val="28"/>
          <w:szCs w:val="28"/>
        </w:rPr>
        <w:t xml:space="preserve">Чамзинского </w:t>
      </w:r>
      <w:r w:rsidRPr="00773CCD">
        <w:rPr>
          <w:sz w:val="28"/>
          <w:szCs w:val="28"/>
        </w:rPr>
        <w:t>муниципального района (далее - Положение).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079D">
        <w:rPr>
          <w:sz w:val="28"/>
          <w:szCs w:val="28"/>
        </w:rPr>
        <w:t>2</w:t>
      </w:r>
      <w:r w:rsidRPr="00773CCD">
        <w:rPr>
          <w:sz w:val="28"/>
          <w:szCs w:val="28"/>
        </w:rPr>
        <w:t>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 Первичные меры пожарной безопасности включают в себя: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3CCD">
        <w:rPr>
          <w:sz w:val="28"/>
          <w:szCs w:val="28"/>
        </w:rPr>
        <w:t>издание муниципальных правовых актов по вопросам пожарной безопасности;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3CCD">
        <w:rPr>
          <w:sz w:val="28"/>
          <w:szCs w:val="28"/>
        </w:rPr>
        <w:t>разработку целевых программ и планов обеспечения пожарной безопасности;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3CCD">
        <w:rPr>
          <w:sz w:val="28"/>
          <w:szCs w:val="28"/>
        </w:rPr>
        <w:t>создание условий для организации деятельности добровольной пожарной охраны;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3CCD">
        <w:rPr>
          <w:sz w:val="28"/>
          <w:szCs w:val="28"/>
        </w:rPr>
        <w:t xml:space="preserve"> включение мероприятий по обеспечению пожарной безопасности в планы, схемы и программы развития территорий района;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3CCD">
        <w:rPr>
          <w:sz w:val="28"/>
          <w:szCs w:val="28"/>
        </w:rPr>
        <w:t xml:space="preserve"> оповещение населения в случае возникновения пожара;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3CCD"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3CCD">
        <w:rPr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 в сельских населенных пунктах;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3CCD">
        <w:rPr>
          <w:sz w:val="28"/>
          <w:szCs w:val="28"/>
        </w:rPr>
        <w:t xml:space="preserve"> установление особого противопожарного режима на территории района;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079D">
        <w:rPr>
          <w:sz w:val="28"/>
          <w:szCs w:val="28"/>
        </w:rPr>
        <w:t>3</w:t>
      </w:r>
      <w:r w:rsidRPr="00773CCD">
        <w:rPr>
          <w:sz w:val="28"/>
          <w:szCs w:val="28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</w:p>
    <w:p w:rsidR="00D65D06" w:rsidRDefault="00D65D06" w:rsidP="00D65D06">
      <w:pPr>
        <w:pStyle w:val="a8"/>
        <w:jc w:val="center"/>
        <w:rPr>
          <w:b/>
          <w:sz w:val="28"/>
          <w:szCs w:val="28"/>
        </w:rPr>
      </w:pPr>
      <w:r w:rsidRPr="00773CCD">
        <w:rPr>
          <w:b/>
          <w:sz w:val="28"/>
          <w:szCs w:val="28"/>
        </w:rPr>
        <w:t>Глава 2. О</w:t>
      </w:r>
      <w:r>
        <w:rPr>
          <w:b/>
          <w:sz w:val="28"/>
          <w:szCs w:val="28"/>
        </w:rPr>
        <w:t xml:space="preserve">сновные задачи по обеспечению первичных </w:t>
      </w:r>
      <w:r w:rsidRPr="00D306A9">
        <w:rPr>
          <w:b/>
          <w:sz w:val="28"/>
          <w:szCs w:val="28"/>
        </w:rPr>
        <w:t xml:space="preserve">мер </w:t>
      </w:r>
      <w:r>
        <w:rPr>
          <w:b/>
          <w:sz w:val="28"/>
          <w:szCs w:val="28"/>
        </w:rPr>
        <w:t xml:space="preserve">                          </w:t>
      </w:r>
      <w:r w:rsidRPr="00D306A9">
        <w:rPr>
          <w:b/>
          <w:sz w:val="28"/>
          <w:szCs w:val="28"/>
        </w:rPr>
        <w:t>пожарной безопасности</w:t>
      </w:r>
    </w:p>
    <w:p w:rsidR="00D65D06" w:rsidRPr="00D306A9" w:rsidRDefault="00D65D06" w:rsidP="00D65D06">
      <w:pPr>
        <w:pStyle w:val="a8"/>
        <w:jc w:val="center"/>
        <w:rPr>
          <w:b/>
          <w:sz w:val="28"/>
          <w:szCs w:val="28"/>
        </w:rPr>
      </w:pP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079D">
        <w:rPr>
          <w:sz w:val="28"/>
          <w:szCs w:val="28"/>
        </w:rPr>
        <w:t>4</w:t>
      </w:r>
      <w:r w:rsidRPr="00773CCD">
        <w:rPr>
          <w:sz w:val="28"/>
          <w:szCs w:val="28"/>
        </w:rPr>
        <w:t>. К основным задачам по обеспечению первичных мер пожарной безопасности на территории района относятся: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3CCD">
        <w:rPr>
          <w:sz w:val="28"/>
          <w:szCs w:val="28"/>
        </w:rPr>
        <w:t>реализация первичных мер пожарной безопасности, направленных на предупреждение пожаров на территории района;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3CCD">
        <w:rPr>
          <w:sz w:val="28"/>
          <w:szCs w:val="28"/>
        </w:rPr>
        <w:t xml:space="preserve"> создание условий для безопасности людей и сохранности имущества от </w:t>
      </w:r>
      <w:r w:rsidRPr="00773CCD">
        <w:rPr>
          <w:sz w:val="28"/>
          <w:szCs w:val="28"/>
        </w:rPr>
        <w:lastRenderedPageBreak/>
        <w:t>пожаров;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3CCD">
        <w:rPr>
          <w:sz w:val="28"/>
          <w:szCs w:val="28"/>
        </w:rPr>
        <w:t xml:space="preserve"> принятие мер для спасения людей и имущества при пожаре.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</w:p>
    <w:p w:rsidR="00D65D06" w:rsidRPr="00D306A9" w:rsidRDefault="00D65D06" w:rsidP="00D65D06">
      <w:pPr>
        <w:pStyle w:val="a8"/>
        <w:jc w:val="center"/>
        <w:rPr>
          <w:b/>
          <w:sz w:val="28"/>
          <w:szCs w:val="28"/>
        </w:rPr>
      </w:pPr>
      <w:r w:rsidRPr="00D306A9">
        <w:rPr>
          <w:b/>
          <w:sz w:val="28"/>
          <w:szCs w:val="28"/>
        </w:rPr>
        <w:t xml:space="preserve">Глава 3. Функции администрации </w:t>
      </w:r>
      <w:r>
        <w:rPr>
          <w:b/>
          <w:sz w:val="28"/>
          <w:szCs w:val="28"/>
        </w:rPr>
        <w:t xml:space="preserve">Чамзинского </w:t>
      </w:r>
      <w:r w:rsidRPr="00D306A9">
        <w:rPr>
          <w:b/>
          <w:sz w:val="28"/>
          <w:szCs w:val="28"/>
        </w:rPr>
        <w:t>муниципального района в области обеспечения пожарной безопасности</w:t>
      </w:r>
    </w:p>
    <w:p w:rsidR="00D65D06" w:rsidRDefault="00D65D06" w:rsidP="00D65D06">
      <w:pPr>
        <w:pStyle w:val="a8"/>
        <w:jc w:val="both"/>
        <w:rPr>
          <w:sz w:val="28"/>
          <w:szCs w:val="28"/>
        </w:rPr>
      </w:pPr>
    </w:p>
    <w:p w:rsidR="00D65D06" w:rsidRPr="00773CCD" w:rsidRDefault="008D079D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D65D06">
        <w:rPr>
          <w:sz w:val="28"/>
          <w:szCs w:val="28"/>
        </w:rPr>
        <w:t>. К функциям А</w:t>
      </w:r>
      <w:r w:rsidR="00D65D06" w:rsidRPr="00773CCD">
        <w:rPr>
          <w:sz w:val="28"/>
          <w:szCs w:val="28"/>
        </w:rPr>
        <w:t xml:space="preserve">дминистрации </w:t>
      </w:r>
      <w:r w:rsidR="00D65D06">
        <w:rPr>
          <w:sz w:val="28"/>
          <w:szCs w:val="28"/>
        </w:rPr>
        <w:t xml:space="preserve">Чамзинского </w:t>
      </w:r>
      <w:r w:rsidR="00D65D06" w:rsidRPr="00773CCD">
        <w:rPr>
          <w:sz w:val="28"/>
          <w:szCs w:val="28"/>
        </w:rPr>
        <w:t>муниципального района в области обеспечения пожарной безопасности относятся: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3CCD">
        <w:rPr>
          <w:sz w:val="28"/>
          <w:szCs w:val="28"/>
        </w:rPr>
        <w:t xml:space="preserve"> включение мероприятий по обеспечению пожарной безопасности в муниципальные целевые программы, включение разделов программ и отдельных мероприятий по обеспечению пожарной безопасности в планы, схемы и программы социально-экономического развития;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3CCD">
        <w:rPr>
          <w:sz w:val="28"/>
          <w:szCs w:val="28"/>
        </w:rPr>
        <w:t xml:space="preserve"> подготовка правовых актов об установлении особого противопожарного режима на территории района;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3CCD">
        <w:rPr>
          <w:sz w:val="28"/>
          <w:szCs w:val="28"/>
        </w:rPr>
        <w:t xml:space="preserve"> </w:t>
      </w:r>
      <w:r w:rsidRPr="00B206C6">
        <w:rPr>
          <w:sz w:val="28"/>
          <w:szCs w:val="28"/>
        </w:rPr>
        <w:t>оказание содействия органам государственной власти субъектов Российской Федерации в обучении населения района мерам пожарной безопасности, проведении противопожарной пропаганды;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3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3CCD">
        <w:rPr>
          <w:sz w:val="28"/>
          <w:szCs w:val="28"/>
        </w:rPr>
        <w:t>организация и проведение аварийно-спасательных работ на территории района;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3CCD">
        <w:rPr>
          <w:sz w:val="28"/>
          <w:szCs w:val="28"/>
        </w:rPr>
        <w:t>организация взаимод</w:t>
      </w:r>
      <w:r>
        <w:rPr>
          <w:sz w:val="28"/>
          <w:szCs w:val="28"/>
        </w:rPr>
        <w:t>ействия с  Главным</w:t>
      </w:r>
      <w:r w:rsidRPr="00773CCD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ем</w:t>
      </w:r>
      <w:r w:rsidRPr="00773CCD">
        <w:rPr>
          <w:sz w:val="28"/>
          <w:szCs w:val="28"/>
        </w:rPr>
        <w:t xml:space="preserve"> М</w:t>
      </w:r>
      <w:r>
        <w:rPr>
          <w:sz w:val="28"/>
          <w:szCs w:val="28"/>
        </w:rPr>
        <w:t>ЧС</w:t>
      </w:r>
      <w:r w:rsidRPr="00773CCD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и</w:t>
      </w:r>
      <w:r w:rsidRPr="00773CCD">
        <w:rPr>
          <w:sz w:val="28"/>
          <w:szCs w:val="28"/>
        </w:rPr>
        <w:t xml:space="preserve"> по Республике Мордовия и другими муниципальными образованиями по привлечению сил и сре</w:t>
      </w:r>
      <w:proofErr w:type="gramStart"/>
      <w:r w:rsidRPr="00773CCD">
        <w:rPr>
          <w:sz w:val="28"/>
          <w:szCs w:val="28"/>
        </w:rPr>
        <w:t>дств дл</w:t>
      </w:r>
      <w:proofErr w:type="gramEnd"/>
      <w:r w:rsidRPr="00773CCD">
        <w:rPr>
          <w:sz w:val="28"/>
          <w:szCs w:val="28"/>
        </w:rPr>
        <w:t>я ликвидации последствий пожаров;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3CCD">
        <w:rPr>
          <w:sz w:val="28"/>
          <w:szCs w:val="28"/>
        </w:rPr>
        <w:t xml:space="preserve"> размещение муниципального заказа на поставку материально-технических сре</w:t>
      </w:r>
      <w:proofErr w:type="gramStart"/>
      <w:r w:rsidRPr="00773CCD">
        <w:rPr>
          <w:sz w:val="28"/>
          <w:szCs w:val="28"/>
        </w:rPr>
        <w:t>дств дл</w:t>
      </w:r>
      <w:proofErr w:type="gramEnd"/>
      <w:r w:rsidRPr="00773CCD">
        <w:rPr>
          <w:sz w:val="28"/>
          <w:szCs w:val="28"/>
        </w:rPr>
        <w:t>я обеспечения первичных мер пожарной безопасности;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3CCD">
        <w:rPr>
          <w:sz w:val="28"/>
          <w:szCs w:val="28"/>
        </w:rPr>
        <w:t>планирование и осуществление мероприятий по пожарной безопасности на территории района</w:t>
      </w:r>
      <w:r>
        <w:rPr>
          <w:sz w:val="28"/>
          <w:szCs w:val="28"/>
        </w:rPr>
        <w:t>.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65D06" w:rsidRPr="00D306A9" w:rsidRDefault="00D65D06" w:rsidP="00D65D06">
      <w:pPr>
        <w:pStyle w:val="a8"/>
        <w:jc w:val="center"/>
        <w:rPr>
          <w:b/>
          <w:sz w:val="28"/>
          <w:szCs w:val="28"/>
        </w:rPr>
      </w:pPr>
      <w:r w:rsidRPr="00D306A9">
        <w:rPr>
          <w:b/>
          <w:sz w:val="28"/>
          <w:szCs w:val="28"/>
        </w:rPr>
        <w:t>Глава 4. Финансовое  обеспечение первичных мер пожарной безопасности</w:t>
      </w:r>
    </w:p>
    <w:p w:rsidR="00D65D06" w:rsidRPr="00D306A9" w:rsidRDefault="00D65D06" w:rsidP="00D65D06">
      <w:pPr>
        <w:pStyle w:val="a8"/>
        <w:jc w:val="both"/>
        <w:rPr>
          <w:b/>
          <w:sz w:val="28"/>
          <w:szCs w:val="28"/>
        </w:rPr>
      </w:pP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</w:t>
      </w:r>
      <w:r w:rsidRPr="00773CCD">
        <w:rPr>
          <w:sz w:val="28"/>
          <w:szCs w:val="28"/>
        </w:rPr>
        <w:t>Финансовое обеспечение первичных мер пожарной безопасности в границах муниципального образования является расходным обязательством района.</w:t>
      </w:r>
    </w:p>
    <w:p w:rsidR="00D65D06" w:rsidRPr="00773CCD" w:rsidRDefault="00D65D06" w:rsidP="00D65D0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3CCD">
        <w:rPr>
          <w:sz w:val="28"/>
          <w:szCs w:val="28"/>
        </w:rPr>
        <w:t>8. Расходы на обеспечение первичных мер пожарной безопасности осуществляются в пределах средств, предусмотренных в бюджете района на соответствующий финансовый год.</w:t>
      </w:r>
    </w:p>
    <w:p w:rsidR="001B4B42" w:rsidRDefault="001B4B42" w:rsidP="00D65D06">
      <w:pPr>
        <w:rPr>
          <w:color w:val="auto"/>
          <w:sz w:val="28"/>
          <w:szCs w:val="28"/>
        </w:rPr>
      </w:pPr>
    </w:p>
    <w:p w:rsidR="00631022" w:rsidRDefault="00631022" w:rsidP="00D65D06">
      <w:pPr>
        <w:rPr>
          <w:color w:val="auto"/>
          <w:sz w:val="28"/>
          <w:szCs w:val="28"/>
        </w:rPr>
      </w:pPr>
    </w:p>
    <w:p w:rsidR="00631022" w:rsidRDefault="00631022" w:rsidP="00D65D06">
      <w:pPr>
        <w:rPr>
          <w:color w:val="auto"/>
          <w:sz w:val="28"/>
          <w:szCs w:val="28"/>
        </w:rPr>
      </w:pPr>
    </w:p>
    <w:p w:rsidR="00631022" w:rsidRDefault="00631022" w:rsidP="00D65D06">
      <w:pPr>
        <w:rPr>
          <w:color w:val="auto"/>
          <w:sz w:val="28"/>
          <w:szCs w:val="28"/>
        </w:rPr>
      </w:pPr>
    </w:p>
    <w:p w:rsidR="00631022" w:rsidRDefault="00631022" w:rsidP="00D65D06">
      <w:pPr>
        <w:rPr>
          <w:color w:val="auto"/>
          <w:sz w:val="28"/>
          <w:szCs w:val="28"/>
        </w:rPr>
      </w:pPr>
    </w:p>
    <w:p w:rsidR="00631022" w:rsidRDefault="00631022" w:rsidP="00D65D06">
      <w:pPr>
        <w:rPr>
          <w:color w:val="auto"/>
          <w:sz w:val="28"/>
          <w:szCs w:val="28"/>
        </w:rPr>
      </w:pPr>
    </w:p>
    <w:p w:rsidR="00631022" w:rsidRDefault="00631022" w:rsidP="00D65D06">
      <w:pPr>
        <w:rPr>
          <w:color w:val="auto"/>
          <w:sz w:val="28"/>
          <w:szCs w:val="28"/>
        </w:rPr>
      </w:pPr>
    </w:p>
    <w:p w:rsidR="008D079D" w:rsidRDefault="008D079D" w:rsidP="00D65D06">
      <w:pPr>
        <w:rPr>
          <w:color w:val="auto"/>
          <w:sz w:val="28"/>
          <w:szCs w:val="28"/>
        </w:rPr>
      </w:pPr>
    </w:p>
    <w:p w:rsidR="008D079D" w:rsidRDefault="008D079D" w:rsidP="00D65D06">
      <w:pPr>
        <w:rPr>
          <w:color w:val="auto"/>
          <w:sz w:val="28"/>
          <w:szCs w:val="28"/>
        </w:rPr>
      </w:pPr>
    </w:p>
    <w:p w:rsidR="00631022" w:rsidRDefault="00631022" w:rsidP="00D65D06">
      <w:pPr>
        <w:rPr>
          <w:color w:val="auto"/>
          <w:sz w:val="28"/>
          <w:szCs w:val="28"/>
        </w:rPr>
      </w:pPr>
    </w:p>
    <w:p w:rsidR="00631022" w:rsidRDefault="00631022" w:rsidP="00631022">
      <w:pPr>
        <w:pStyle w:val="a8"/>
        <w:jc w:val="right"/>
      </w:pPr>
    </w:p>
    <w:p w:rsidR="00631022" w:rsidRDefault="00631022" w:rsidP="00631022">
      <w:pPr>
        <w:pStyle w:val="a8"/>
        <w:jc w:val="right"/>
      </w:pPr>
      <w:r>
        <w:lastRenderedPageBreak/>
        <w:t>Приложение 2</w:t>
      </w:r>
    </w:p>
    <w:p w:rsidR="00631022" w:rsidRPr="00D65D06" w:rsidRDefault="00631022" w:rsidP="00631022">
      <w:pPr>
        <w:pStyle w:val="a8"/>
        <w:jc w:val="right"/>
      </w:pPr>
      <w:r w:rsidRPr="00D65D06">
        <w:t>к постановлению Администрации</w:t>
      </w:r>
    </w:p>
    <w:p w:rsidR="00631022" w:rsidRPr="00D65D06" w:rsidRDefault="00631022" w:rsidP="00631022">
      <w:pPr>
        <w:pStyle w:val="a8"/>
        <w:jc w:val="right"/>
      </w:pPr>
      <w:r w:rsidRPr="00D65D06">
        <w:t xml:space="preserve"> Чамзинского муниципального района</w:t>
      </w:r>
    </w:p>
    <w:p w:rsidR="00631022" w:rsidRDefault="00631022" w:rsidP="00631022">
      <w:pPr>
        <w:pStyle w:val="a8"/>
        <w:jc w:val="right"/>
      </w:pPr>
      <w:r w:rsidRPr="00D65D06">
        <w:t xml:space="preserve"> от _______2024 №____</w:t>
      </w:r>
    </w:p>
    <w:p w:rsidR="00267276" w:rsidRDefault="00267276" w:rsidP="00631022">
      <w:pPr>
        <w:pStyle w:val="a8"/>
        <w:jc w:val="right"/>
      </w:pPr>
    </w:p>
    <w:p w:rsidR="00267276" w:rsidRDefault="00267276" w:rsidP="00631022">
      <w:pPr>
        <w:pStyle w:val="a8"/>
        <w:jc w:val="right"/>
      </w:pPr>
    </w:p>
    <w:p w:rsidR="00267276" w:rsidRDefault="00267276" w:rsidP="00631022">
      <w:pPr>
        <w:pStyle w:val="a8"/>
        <w:jc w:val="right"/>
      </w:pPr>
    </w:p>
    <w:p w:rsidR="00267276" w:rsidRDefault="00267276" w:rsidP="00631022">
      <w:pPr>
        <w:pStyle w:val="a8"/>
        <w:jc w:val="right"/>
      </w:pPr>
    </w:p>
    <w:p w:rsidR="00267276" w:rsidRDefault="00267276" w:rsidP="00267276">
      <w:pPr>
        <w:pStyle w:val="a8"/>
        <w:jc w:val="center"/>
        <w:rPr>
          <w:b/>
          <w:sz w:val="28"/>
          <w:szCs w:val="28"/>
        </w:rPr>
      </w:pPr>
      <w:r w:rsidRPr="00D306A9">
        <w:rPr>
          <w:b/>
          <w:sz w:val="28"/>
          <w:szCs w:val="28"/>
        </w:rPr>
        <w:t>ПЕРЕЧЕНЬ</w:t>
      </w:r>
    </w:p>
    <w:p w:rsidR="00267276" w:rsidRPr="00773CCD" w:rsidRDefault="00267276" w:rsidP="00267276">
      <w:pPr>
        <w:pStyle w:val="a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первичных средств  пожаротушения и противопожарного инвентаря для помещений и строений, находящихся в собственности (пользовании) граждан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7"/>
        <w:gridCol w:w="3969"/>
        <w:gridCol w:w="3260"/>
      </w:tblGrid>
      <w:tr w:rsidR="00267276" w:rsidRPr="00773CCD" w:rsidTr="00E04BB4">
        <w:tc>
          <w:tcPr>
            <w:tcW w:w="2557" w:type="dxa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 w:rsidRPr="00773CCD">
              <w:rPr>
                <w:sz w:val="28"/>
                <w:szCs w:val="28"/>
              </w:rPr>
              <w:t>Наименование помещения, строений</w:t>
            </w:r>
          </w:p>
        </w:tc>
        <w:tc>
          <w:tcPr>
            <w:tcW w:w="3969" w:type="dxa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 w:rsidRPr="00773CCD">
              <w:rPr>
                <w:sz w:val="28"/>
                <w:szCs w:val="28"/>
              </w:rPr>
              <w:t>Наименование первичных средств пожаротушения, их количество</w:t>
            </w:r>
          </w:p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 w:rsidRPr="00773CCD">
              <w:rPr>
                <w:sz w:val="28"/>
                <w:szCs w:val="28"/>
              </w:rPr>
              <w:t>Примечание</w:t>
            </w:r>
          </w:p>
        </w:tc>
      </w:tr>
      <w:tr w:rsidR="00267276" w:rsidRPr="00773CCD" w:rsidTr="00E04BB4">
        <w:tc>
          <w:tcPr>
            <w:tcW w:w="9786" w:type="dxa"/>
            <w:gridSpan w:val="3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267276" w:rsidRPr="00773CCD" w:rsidTr="00E04BB4">
        <w:tc>
          <w:tcPr>
            <w:tcW w:w="2557" w:type="dxa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 w:rsidRPr="00773CCD">
              <w:rPr>
                <w:sz w:val="28"/>
                <w:szCs w:val="28"/>
              </w:rPr>
              <w:t>Квартиры, комнаты общежития</w:t>
            </w:r>
          </w:p>
        </w:tc>
        <w:tc>
          <w:tcPr>
            <w:tcW w:w="3969" w:type="dxa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773CCD">
              <w:rPr>
                <w:sz w:val="28"/>
                <w:szCs w:val="28"/>
              </w:rPr>
              <w:t>гнетушитель порошковый или углекислотный емкостью не менее 2 литров в количестве 1 ед. на 100 кв. м общей площади помещений квартиры (комнаты);</w:t>
            </w:r>
          </w:p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773CCD">
              <w:rPr>
                <w:sz w:val="28"/>
                <w:szCs w:val="28"/>
              </w:rPr>
              <w:t>сбестовое покрывало размером 1 x 1 м 1 ед. на квартиру (комнату)</w:t>
            </w:r>
            <w:r>
              <w:rPr>
                <w:sz w:val="28"/>
                <w:szCs w:val="28"/>
              </w:rPr>
              <w:t>;</w:t>
            </w:r>
          </w:p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773CCD">
              <w:rPr>
                <w:sz w:val="28"/>
                <w:szCs w:val="28"/>
              </w:rPr>
              <w:t>ожарный</w:t>
            </w:r>
            <w:r>
              <w:rPr>
                <w:sz w:val="28"/>
                <w:szCs w:val="28"/>
              </w:rPr>
              <w:t xml:space="preserve"> </w:t>
            </w:r>
            <w:r w:rsidRPr="00773CCD">
              <w:rPr>
                <w:sz w:val="28"/>
                <w:szCs w:val="28"/>
              </w:rPr>
              <w:t>кран внутриквартирного пожаротушения со шлангом и распылителем в соответствии п. 74.5 СНиП 31-01-2003 "Жилые здания"</w:t>
            </w:r>
          </w:p>
        </w:tc>
        <w:tc>
          <w:tcPr>
            <w:tcW w:w="3260" w:type="dxa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773CCD">
              <w:rPr>
                <w:sz w:val="28"/>
                <w:szCs w:val="28"/>
              </w:rPr>
              <w:t>риобретает и несет ответственность за содержание собственник жилья</w:t>
            </w:r>
          </w:p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267276" w:rsidRPr="00773CCD" w:rsidTr="00E04BB4">
        <w:tc>
          <w:tcPr>
            <w:tcW w:w="2557" w:type="dxa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 w:rsidRPr="00773CCD">
              <w:rPr>
                <w:sz w:val="28"/>
                <w:szCs w:val="28"/>
              </w:rPr>
              <w:t>Индивидуальные жилые и дачные дома</w:t>
            </w:r>
          </w:p>
        </w:tc>
        <w:tc>
          <w:tcPr>
            <w:tcW w:w="3969" w:type="dxa"/>
            <w:vAlign w:val="center"/>
            <w:hideMark/>
          </w:tcPr>
          <w:p w:rsidR="00267276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73CCD">
              <w:rPr>
                <w:sz w:val="28"/>
                <w:szCs w:val="28"/>
              </w:rPr>
              <w:t>ля внутренних жилых помещени</w:t>
            </w:r>
            <w:r>
              <w:rPr>
                <w:sz w:val="28"/>
                <w:szCs w:val="28"/>
              </w:rPr>
              <w:t>й как для квартир (смотри выше);</w:t>
            </w:r>
            <w:r w:rsidRPr="00773CCD">
              <w:rPr>
                <w:sz w:val="28"/>
                <w:szCs w:val="28"/>
              </w:rPr>
              <w:t xml:space="preserve"> </w:t>
            </w:r>
          </w:p>
          <w:p w:rsidR="00267276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773CCD">
              <w:rPr>
                <w:sz w:val="28"/>
                <w:szCs w:val="28"/>
              </w:rPr>
              <w:t xml:space="preserve">мкости с водой </w:t>
            </w:r>
            <w:r>
              <w:rPr>
                <w:sz w:val="28"/>
                <w:szCs w:val="28"/>
              </w:rPr>
              <w:t>объемом не менее 200 л, 2 ведра;</w:t>
            </w:r>
          </w:p>
          <w:p w:rsidR="00267276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немеханизированные пожарные</w:t>
            </w:r>
            <w:r w:rsidRPr="00773CCD">
              <w:rPr>
                <w:sz w:val="28"/>
                <w:szCs w:val="28"/>
              </w:rPr>
              <w:t xml:space="preserve"> инструмент</w:t>
            </w:r>
            <w:r>
              <w:rPr>
                <w:sz w:val="28"/>
                <w:szCs w:val="28"/>
              </w:rPr>
              <w:t>ы</w:t>
            </w:r>
            <w:r w:rsidRPr="00773CCD">
              <w:rPr>
                <w:sz w:val="28"/>
                <w:szCs w:val="28"/>
              </w:rPr>
              <w:t xml:space="preserve"> (ломы, багры, крюки с деревянной рукояткой, ведра, комплекты для резки электропроводов, ножницы, диэлектрические боты и коврики, лопаты совковые и штыковые, вилы, тележки для перевозки оборудования, ручные насосы, пожарные рукава, защитные экраны, ящики с песком)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 w:rsidRPr="00773CCD">
              <w:rPr>
                <w:sz w:val="28"/>
                <w:szCs w:val="28"/>
              </w:rPr>
              <w:t>Приобретение за личный счет, за счет коллективных средств домовладельцев, членов дачных кооперативов. Закрепление инвентаря осуществляется на общих сходах, собраниях и контролируется председателями уличных комитетов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267276" w:rsidRPr="00773CCD" w:rsidTr="00E04BB4">
        <w:tc>
          <w:tcPr>
            <w:tcW w:w="2557" w:type="dxa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 w:rsidRPr="00773CCD">
              <w:rPr>
                <w:sz w:val="28"/>
                <w:szCs w:val="28"/>
              </w:rPr>
              <w:lastRenderedPageBreak/>
              <w:t>Гаражи</w:t>
            </w:r>
          </w:p>
        </w:tc>
        <w:tc>
          <w:tcPr>
            <w:tcW w:w="3969" w:type="dxa"/>
            <w:vAlign w:val="center"/>
            <w:hideMark/>
          </w:tcPr>
          <w:p w:rsidR="00267276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 w:rsidRPr="00773CCD">
              <w:rPr>
                <w:sz w:val="28"/>
                <w:szCs w:val="28"/>
              </w:rPr>
              <w:t>Огнетушители емкостью не менее 5 литров (пенные, водные, порошковые, углекисло</w:t>
            </w:r>
            <w:r>
              <w:rPr>
                <w:sz w:val="28"/>
                <w:szCs w:val="28"/>
              </w:rPr>
              <w:t xml:space="preserve">тные) - 1 ед. на 1 </w:t>
            </w:r>
            <w:proofErr w:type="spellStart"/>
            <w:r>
              <w:rPr>
                <w:sz w:val="28"/>
                <w:szCs w:val="28"/>
              </w:rPr>
              <w:t>машино-место</w:t>
            </w:r>
            <w:proofErr w:type="spellEnd"/>
            <w:r>
              <w:rPr>
                <w:sz w:val="28"/>
                <w:szCs w:val="28"/>
              </w:rPr>
              <w:t>;</w:t>
            </w:r>
            <w:r w:rsidRPr="00773CCD">
              <w:rPr>
                <w:sz w:val="28"/>
                <w:szCs w:val="28"/>
              </w:rPr>
              <w:t xml:space="preserve"> </w:t>
            </w:r>
          </w:p>
          <w:p w:rsidR="00267276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73CCD">
              <w:rPr>
                <w:sz w:val="28"/>
                <w:szCs w:val="28"/>
              </w:rPr>
              <w:t xml:space="preserve">сбестовое покрывало размером не менее 1 x 1 м - 1 ед. на 1 </w:t>
            </w:r>
            <w:proofErr w:type="spellStart"/>
            <w:r w:rsidRPr="00773CC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мещени</w:t>
            </w:r>
            <w:proofErr w:type="spellEnd"/>
            <w:proofErr w:type="gramStart"/>
            <w:r>
              <w:rPr>
                <w:sz w:val="28"/>
                <w:szCs w:val="28"/>
              </w:rPr>
              <w:t>;</w:t>
            </w:r>
            <w:r w:rsidRPr="00773CCD">
              <w:rPr>
                <w:sz w:val="28"/>
                <w:szCs w:val="28"/>
              </w:rPr>
              <w:t xml:space="preserve">. </w:t>
            </w:r>
            <w:proofErr w:type="gramEnd"/>
          </w:p>
          <w:p w:rsidR="00267276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773CCD">
              <w:rPr>
                <w:sz w:val="28"/>
                <w:szCs w:val="28"/>
              </w:rPr>
              <w:t xml:space="preserve">щик с песком емкостью не менее 0,5 куб. м с совковой лопатой - 1 ед. на 1 помещение. </w:t>
            </w:r>
          </w:p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 w:rsidRPr="00773CCD">
              <w:rPr>
                <w:sz w:val="28"/>
                <w:szCs w:val="28"/>
              </w:rPr>
              <w:t>Трос, буксирная тяга - 1 ед. на 1 автомобиль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73CCD">
              <w:rPr>
                <w:sz w:val="28"/>
                <w:szCs w:val="28"/>
              </w:rPr>
              <w:t>риобретается за счет владельцев</w:t>
            </w:r>
          </w:p>
        </w:tc>
      </w:tr>
      <w:tr w:rsidR="00267276" w:rsidRPr="00773CCD" w:rsidTr="00E04BB4">
        <w:tc>
          <w:tcPr>
            <w:tcW w:w="2557" w:type="dxa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 w:rsidRPr="00773CCD">
              <w:rPr>
                <w:sz w:val="28"/>
                <w:szCs w:val="28"/>
              </w:rPr>
              <w:t>Вспомогательные, подсобные, хозяйственные постройки (бани, сараи, помещения для скота, птицы)</w:t>
            </w:r>
          </w:p>
        </w:tc>
        <w:tc>
          <w:tcPr>
            <w:tcW w:w="3969" w:type="dxa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73CCD">
              <w:rPr>
                <w:sz w:val="28"/>
                <w:szCs w:val="28"/>
              </w:rPr>
              <w:t>гнетушители емкостью не менее 2 литров (пенные, водные, порошковые, углекислотные) - 1 ед. на 50 кв. м защищаемой площади</w:t>
            </w:r>
          </w:p>
        </w:tc>
        <w:tc>
          <w:tcPr>
            <w:tcW w:w="3260" w:type="dxa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proofErr w:type="spellStart"/>
            <w:r w:rsidRPr="00773CC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</w:t>
            </w:r>
            <w:r w:rsidRPr="00773CCD">
              <w:rPr>
                <w:sz w:val="28"/>
                <w:szCs w:val="28"/>
              </w:rPr>
              <w:t>иобретается</w:t>
            </w:r>
            <w:proofErr w:type="spellEnd"/>
            <w:r w:rsidRPr="00773CCD">
              <w:rPr>
                <w:sz w:val="28"/>
                <w:szCs w:val="28"/>
              </w:rPr>
              <w:t xml:space="preserve"> за счет владельцев</w:t>
            </w:r>
          </w:p>
        </w:tc>
      </w:tr>
      <w:tr w:rsidR="00267276" w:rsidRPr="00773CCD" w:rsidTr="00E04BB4">
        <w:tc>
          <w:tcPr>
            <w:tcW w:w="2557" w:type="dxa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 w:rsidRPr="00773CCD">
              <w:rPr>
                <w:sz w:val="28"/>
                <w:szCs w:val="28"/>
              </w:rPr>
              <w:t>Помещения общественного или иного назначения, связанные с индивидуальной трудовой деятельностью, размещаемые на территории частных землевладений</w:t>
            </w:r>
          </w:p>
        </w:tc>
        <w:tc>
          <w:tcPr>
            <w:tcW w:w="3969" w:type="dxa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73CCD">
              <w:rPr>
                <w:sz w:val="28"/>
                <w:szCs w:val="28"/>
              </w:rPr>
              <w:t>о нормам "Правил противопожарного режима в Российской Федерации"</w:t>
            </w:r>
          </w:p>
        </w:tc>
        <w:tc>
          <w:tcPr>
            <w:tcW w:w="3260" w:type="dxa"/>
            <w:vAlign w:val="center"/>
            <w:hideMark/>
          </w:tcPr>
          <w:p w:rsidR="00267276" w:rsidRPr="00773CCD" w:rsidRDefault="00267276" w:rsidP="00E04BB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73CCD">
              <w:rPr>
                <w:sz w:val="28"/>
                <w:szCs w:val="28"/>
              </w:rPr>
              <w:t>риобретается за счет владельцев</w:t>
            </w:r>
          </w:p>
        </w:tc>
      </w:tr>
    </w:tbl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center"/>
        <w:rPr>
          <w:b/>
          <w:sz w:val="28"/>
          <w:szCs w:val="28"/>
        </w:rPr>
      </w:pPr>
    </w:p>
    <w:p w:rsidR="00267276" w:rsidRDefault="00267276" w:rsidP="00267276">
      <w:pPr>
        <w:pStyle w:val="a8"/>
        <w:jc w:val="right"/>
      </w:pPr>
      <w:r>
        <w:t>Приложение 3</w:t>
      </w:r>
    </w:p>
    <w:p w:rsidR="00267276" w:rsidRPr="00D65D06" w:rsidRDefault="00267276" w:rsidP="00267276">
      <w:pPr>
        <w:pStyle w:val="a8"/>
        <w:jc w:val="right"/>
      </w:pPr>
      <w:r w:rsidRPr="00D65D06">
        <w:t>к постановлению Администрации</w:t>
      </w:r>
    </w:p>
    <w:p w:rsidR="00267276" w:rsidRPr="00D65D06" w:rsidRDefault="00267276" w:rsidP="00267276">
      <w:pPr>
        <w:pStyle w:val="a8"/>
        <w:jc w:val="right"/>
      </w:pPr>
      <w:r w:rsidRPr="00D65D06">
        <w:t xml:space="preserve"> Чамзинского муниципального района</w:t>
      </w:r>
    </w:p>
    <w:p w:rsidR="00267276" w:rsidRDefault="00267276" w:rsidP="00267276">
      <w:pPr>
        <w:pStyle w:val="a8"/>
        <w:jc w:val="right"/>
      </w:pPr>
      <w:r w:rsidRPr="00D65D06">
        <w:t xml:space="preserve"> от _______2024 №____</w:t>
      </w:r>
    </w:p>
    <w:p w:rsidR="00267276" w:rsidRDefault="00267276" w:rsidP="00267276">
      <w:pPr>
        <w:pStyle w:val="a8"/>
        <w:jc w:val="right"/>
        <w:rPr>
          <w:b/>
          <w:sz w:val="28"/>
          <w:szCs w:val="28"/>
        </w:rPr>
      </w:pPr>
    </w:p>
    <w:p w:rsidR="00267276" w:rsidRDefault="00267276" w:rsidP="00267276">
      <w:pPr>
        <w:pStyle w:val="a8"/>
        <w:jc w:val="center"/>
        <w:rPr>
          <w:b/>
          <w:sz w:val="28"/>
          <w:szCs w:val="28"/>
        </w:rPr>
      </w:pPr>
    </w:p>
    <w:p w:rsidR="00267276" w:rsidRDefault="00267276" w:rsidP="00267276">
      <w:pPr>
        <w:pStyle w:val="a8"/>
        <w:jc w:val="center"/>
        <w:rPr>
          <w:b/>
          <w:sz w:val="28"/>
          <w:szCs w:val="28"/>
        </w:rPr>
      </w:pPr>
    </w:p>
    <w:p w:rsidR="00267276" w:rsidRPr="00B8713B" w:rsidRDefault="00267276" w:rsidP="00267276">
      <w:pPr>
        <w:pStyle w:val="a8"/>
        <w:jc w:val="center"/>
        <w:rPr>
          <w:b/>
          <w:sz w:val="28"/>
          <w:szCs w:val="28"/>
        </w:rPr>
      </w:pPr>
      <w:r w:rsidRPr="00B8713B">
        <w:rPr>
          <w:b/>
          <w:sz w:val="28"/>
          <w:szCs w:val="28"/>
        </w:rPr>
        <w:t>Нормы</w:t>
      </w:r>
    </w:p>
    <w:p w:rsidR="00267276" w:rsidRDefault="00267276" w:rsidP="00267276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8713B">
        <w:rPr>
          <w:b/>
          <w:sz w:val="28"/>
          <w:szCs w:val="28"/>
        </w:rPr>
        <w:t>снащений помещений ручными огнетушителями</w:t>
      </w:r>
    </w:p>
    <w:p w:rsidR="00267276" w:rsidRPr="00B8713B" w:rsidRDefault="00267276" w:rsidP="00267276">
      <w:pPr>
        <w:pStyle w:val="a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4"/>
        <w:gridCol w:w="1205"/>
        <w:gridCol w:w="707"/>
        <w:gridCol w:w="1279"/>
        <w:gridCol w:w="571"/>
        <w:gridCol w:w="483"/>
        <w:gridCol w:w="526"/>
        <w:gridCol w:w="1468"/>
        <w:gridCol w:w="425"/>
        <w:gridCol w:w="1066"/>
      </w:tblGrid>
      <w:tr w:rsidR="00267276" w:rsidRPr="007257AB" w:rsidTr="00E04BB4">
        <w:tc>
          <w:tcPr>
            <w:tcW w:w="1634" w:type="dxa"/>
            <w:vMerge w:val="restart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Категория помещения по взрывопожарной и пожарной опасности</w:t>
            </w:r>
          </w:p>
        </w:tc>
        <w:tc>
          <w:tcPr>
            <w:tcW w:w="1205" w:type="dxa"/>
            <w:vMerge w:val="restart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Предельная защищаемая площадь, (кв. метров)</w:t>
            </w:r>
          </w:p>
        </w:tc>
        <w:tc>
          <w:tcPr>
            <w:tcW w:w="707" w:type="dxa"/>
            <w:vMerge w:val="restart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Класс пожара</w:t>
            </w:r>
          </w:p>
        </w:tc>
        <w:tc>
          <w:tcPr>
            <w:tcW w:w="5818" w:type="dxa"/>
            <w:gridSpan w:val="7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Огнетушители (штук)</w:t>
            </w:r>
          </w:p>
        </w:tc>
      </w:tr>
      <w:tr w:rsidR="00267276" w:rsidRPr="007257AB" w:rsidTr="00E04BB4">
        <w:tc>
          <w:tcPr>
            <w:tcW w:w="1634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proofErr w:type="gramStart"/>
            <w:r w:rsidRPr="007257AB">
              <w:rPr>
                <w:sz w:val="26"/>
                <w:szCs w:val="26"/>
              </w:rPr>
              <w:t>Пенные</w:t>
            </w:r>
            <w:proofErr w:type="gramEnd"/>
            <w:r w:rsidRPr="007257AB">
              <w:rPr>
                <w:sz w:val="26"/>
                <w:szCs w:val="26"/>
              </w:rPr>
              <w:t xml:space="preserve"> и водные (вместимостью 10 л)</w:t>
            </w:r>
          </w:p>
        </w:tc>
        <w:tc>
          <w:tcPr>
            <w:tcW w:w="1580" w:type="dxa"/>
            <w:gridSpan w:val="3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proofErr w:type="gramStart"/>
            <w:r w:rsidRPr="007257AB">
              <w:rPr>
                <w:sz w:val="26"/>
                <w:szCs w:val="26"/>
              </w:rPr>
              <w:t>Порошковые (вместимость, л/масса огнетушащего вещества, килограмм)</w:t>
            </w:r>
            <w:proofErr w:type="gramEnd"/>
          </w:p>
        </w:tc>
        <w:tc>
          <w:tcPr>
            <w:tcW w:w="1468" w:type="dxa"/>
            <w:vMerge w:val="restart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7257AB">
              <w:rPr>
                <w:sz w:val="26"/>
                <w:szCs w:val="26"/>
              </w:rPr>
              <w:t>Хладоновые</w:t>
            </w:r>
            <w:proofErr w:type="spellEnd"/>
            <w:r w:rsidRPr="007257AB">
              <w:rPr>
                <w:sz w:val="26"/>
                <w:szCs w:val="26"/>
              </w:rPr>
              <w:t xml:space="preserve"> (вместимостью 2 (3) литра)</w:t>
            </w:r>
          </w:p>
        </w:tc>
        <w:tc>
          <w:tcPr>
            <w:tcW w:w="1491" w:type="dxa"/>
            <w:gridSpan w:val="2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proofErr w:type="gramStart"/>
            <w:r w:rsidRPr="007257AB">
              <w:rPr>
                <w:sz w:val="26"/>
                <w:szCs w:val="26"/>
              </w:rPr>
              <w:t>Углекислотные (вместимость, л/масса огнетушащего вещества, килограмм)</w:t>
            </w:r>
            <w:proofErr w:type="gramEnd"/>
          </w:p>
        </w:tc>
      </w:tr>
      <w:tr w:rsidR="00267276" w:rsidRPr="007257AB" w:rsidTr="00E04BB4">
        <w:tc>
          <w:tcPr>
            <w:tcW w:w="1634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1279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2/2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5/4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10/9</w:t>
            </w:r>
          </w:p>
        </w:tc>
        <w:tc>
          <w:tcPr>
            <w:tcW w:w="1468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2/2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proofErr w:type="gramStart"/>
            <w:r w:rsidRPr="007257AB">
              <w:rPr>
                <w:sz w:val="26"/>
                <w:szCs w:val="26"/>
              </w:rPr>
              <w:t>5(8/3(5)</w:t>
            </w:r>
            <w:proofErr w:type="gramEnd"/>
          </w:p>
        </w:tc>
      </w:tr>
      <w:tr w:rsidR="00267276" w:rsidRPr="007257AB" w:rsidTr="00E04BB4">
        <w:tc>
          <w:tcPr>
            <w:tcW w:w="1634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</w:t>
            </w:r>
          </w:p>
        </w:tc>
        <w:tc>
          <w:tcPr>
            <w:tcW w:w="120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</w:t>
            </w:r>
          </w:p>
        </w:tc>
        <w:tc>
          <w:tcPr>
            <w:tcW w:w="707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3</w:t>
            </w:r>
          </w:p>
        </w:tc>
        <w:tc>
          <w:tcPr>
            <w:tcW w:w="1279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4</w:t>
            </w: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5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6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7</w:t>
            </w:r>
          </w:p>
        </w:tc>
        <w:tc>
          <w:tcPr>
            <w:tcW w:w="1468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9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10</w:t>
            </w:r>
          </w:p>
        </w:tc>
      </w:tr>
      <w:tr w:rsidR="00267276" w:rsidRPr="007257AB" w:rsidTr="00E04BB4">
        <w:tc>
          <w:tcPr>
            <w:tcW w:w="1634" w:type="dxa"/>
            <w:vMerge w:val="restart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А, Б, В</w:t>
            </w:r>
          </w:p>
        </w:tc>
        <w:tc>
          <w:tcPr>
            <w:tcW w:w="1205" w:type="dxa"/>
            <w:vMerge w:val="restart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200</w:t>
            </w:r>
          </w:p>
        </w:tc>
        <w:tc>
          <w:tcPr>
            <w:tcW w:w="707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A</w:t>
            </w:r>
          </w:p>
        </w:tc>
        <w:tc>
          <w:tcPr>
            <w:tcW w:w="1279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2++</w:t>
            </w: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1++</w:t>
            </w:r>
          </w:p>
        </w:tc>
        <w:tc>
          <w:tcPr>
            <w:tcW w:w="1468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</w:tr>
      <w:tr w:rsidR="00267276" w:rsidRPr="007257AB" w:rsidTr="00E04BB4">
        <w:tc>
          <w:tcPr>
            <w:tcW w:w="1634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707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B</w:t>
            </w:r>
          </w:p>
        </w:tc>
        <w:tc>
          <w:tcPr>
            <w:tcW w:w="1279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4+</w:t>
            </w: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1++</w:t>
            </w:r>
          </w:p>
        </w:tc>
        <w:tc>
          <w:tcPr>
            <w:tcW w:w="1468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4+</w:t>
            </w: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</w:tr>
      <w:tr w:rsidR="00267276" w:rsidRPr="007257AB" w:rsidTr="00E04BB4">
        <w:tc>
          <w:tcPr>
            <w:tcW w:w="1634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707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C</w:t>
            </w:r>
          </w:p>
        </w:tc>
        <w:tc>
          <w:tcPr>
            <w:tcW w:w="1279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1++</w:t>
            </w:r>
          </w:p>
        </w:tc>
        <w:tc>
          <w:tcPr>
            <w:tcW w:w="1468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4+</w:t>
            </w: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</w:tr>
      <w:tr w:rsidR="00267276" w:rsidRPr="007257AB" w:rsidTr="00E04BB4">
        <w:tc>
          <w:tcPr>
            <w:tcW w:w="1634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707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D</w:t>
            </w:r>
          </w:p>
        </w:tc>
        <w:tc>
          <w:tcPr>
            <w:tcW w:w="1279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1++</w:t>
            </w:r>
          </w:p>
        </w:tc>
        <w:tc>
          <w:tcPr>
            <w:tcW w:w="1468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</w:tr>
      <w:tr w:rsidR="00267276" w:rsidRPr="007257AB" w:rsidTr="00E04BB4">
        <w:tc>
          <w:tcPr>
            <w:tcW w:w="1634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707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E</w:t>
            </w:r>
          </w:p>
        </w:tc>
        <w:tc>
          <w:tcPr>
            <w:tcW w:w="1279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1++</w:t>
            </w:r>
          </w:p>
        </w:tc>
        <w:tc>
          <w:tcPr>
            <w:tcW w:w="1468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2++</w:t>
            </w:r>
          </w:p>
        </w:tc>
      </w:tr>
      <w:tr w:rsidR="00267276" w:rsidRPr="007257AB" w:rsidTr="00E04BB4">
        <w:tc>
          <w:tcPr>
            <w:tcW w:w="1634" w:type="dxa"/>
            <w:vMerge w:val="restart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В</w:t>
            </w:r>
          </w:p>
        </w:tc>
        <w:tc>
          <w:tcPr>
            <w:tcW w:w="1205" w:type="dxa"/>
            <w:vMerge w:val="restart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400</w:t>
            </w:r>
          </w:p>
        </w:tc>
        <w:tc>
          <w:tcPr>
            <w:tcW w:w="707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A</w:t>
            </w:r>
          </w:p>
        </w:tc>
        <w:tc>
          <w:tcPr>
            <w:tcW w:w="1279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2++</w:t>
            </w: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4+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2++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1+</w:t>
            </w:r>
          </w:p>
        </w:tc>
        <w:tc>
          <w:tcPr>
            <w:tcW w:w="1468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</w:t>
            </w:r>
          </w:p>
        </w:tc>
      </w:tr>
      <w:tr w:rsidR="00267276" w:rsidRPr="007257AB" w:rsidTr="00E04BB4">
        <w:tc>
          <w:tcPr>
            <w:tcW w:w="1634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707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D</w:t>
            </w:r>
          </w:p>
        </w:tc>
        <w:tc>
          <w:tcPr>
            <w:tcW w:w="1279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1++</w:t>
            </w:r>
          </w:p>
        </w:tc>
        <w:tc>
          <w:tcPr>
            <w:tcW w:w="1468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</w:tr>
      <w:tr w:rsidR="00267276" w:rsidRPr="007257AB" w:rsidTr="00E04BB4">
        <w:tc>
          <w:tcPr>
            <w:tcW w:w="1634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707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E</w:t>
            </w:r>
          </w:p>
        </w:tc>
        <w:tc>
          <w:tcPr>
            <w:tcW w:w="1279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2++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1+</w:t>
            </w:r>
          </w:p>
        </w:tc>
        <w:tc>
          <w:tcPr>
            <w:tcW w:w="1468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</w:t>
            </w: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4+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2++</w:t>
            </w:r>
          </w:p>
        </w:tc>
      </w:tr>
      <w:tr w:rsidR="00267276" w:rsidRPr="007257AB" w:rsidTr="00E04BB4">
        <w:tc>
          <w:tcPr>
            <w:tcW w:w="1634" w:type="dxa"/>
            <w:vMerge w:val="restart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Г</w:t>
            </w:r>
          </w:p>
        </w:tc>
        <w:tc>
          <w:tcPr>
            <w:tcW w:w="1205" w:type="dxa"/>
            <w:vMerge w:val="restart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800</w:t>
            </w:r>
          </w:p>
        </w:tc>
        <w:tc>
          <w:tcPr>
            <w:tcW w:w="707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B</w:t>
            </w:r>
          </w:p>
        </w:tc>
        <w:tc>
          <w:tcPr>
            <w:tcW w:w="1279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</w:t>
            </w: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2++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1+</w:t>
            </w:r>
          </w:p>
        </w:tc>
        <w:tc>
          <w:tcPr>
            <w:tcW w:w="1468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</w:tr>
      <w:tr w:rsidR="00267276" w:rsidRPr="007257AB" w:rsidTr="00E04BB4">
        <w:tc>
          <w:tcPr>
            <w:tcW w:w="1634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707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C</w:t>
            </w:r>
          </w:p>
        </w:tc>
        <w:tc>
          <w:tcPr>
            <w:tcW w:w="1279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4+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2++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1+</w:t>
            </w:r>
          </w:p>
        </w:tc>
        <w:tc>
          <w:tcPr>
            <w:tcW w:w="1468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</w:tr>
      <w:tr w:rsidR="00267276" w:rsidRPr="007257AB" w:rsidTr="00E04BB4">
        <w:tc>
          <w:tcPr>
            <w:tcW w:w="1634" w:type="dxa"/>
            <w:vMerge w:val="restart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Г, Д</w:t>
            </w:r>
          </w:p>
        </w:tc>
        <w:tc>
          <w:tcPr>
            <w:tcW w:w="1205" w:type="dxa"/>
            <w:vMerge w:val="restart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1800</w:t>
            </w:r>
          </w:p>
        </w:tc>
        <w:tc>
          <w:tcPr>
            <w:tcW w:w="707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A</w:t>
            </w:r>
          </w:p>
        </w:tc>
        <w:tc>
          <w:tcPr>
            <w:tcW w:w="1279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2++</w:t>
            </w: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4+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2++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1+</w:t>
            </w:r>
          </w:p>
        </w:tc>
        <w:tc>
          <w:tcPr>
            <w:tcW w:w="1468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</w:tr>
      <w:tr w:rsidR="00267276" w:rsidRPr="007257AB" w:rsidTr="00E04BB4">
        <w:tc>
          <w:tcPr>
            <w:tcW w:w="1634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707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D</w:t>
            </w:r>
          </w:p>
        </w:tc>
        <w:tc>
          <w:tcPr>
            <w:tcW w:w="1279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1++</w:t>
            </w:r>
          </w:p>
        </w:tc>
        <w:tc>
          <w:tcPr>
            <w:tcW w:w="1468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</w:tr>
      <w:tr w:rsidR="00267276" w:rsidRPr="007257AB" w:rsidTr="00E04BB4">
        <w:tc>
          <w:tcPr>
            <w:tcW w:w="1634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707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E</w:t>
            </w:r>
          </w:p>
        </w:tc>
        <w:tc>
          <w:tcPr>
            <w:tcW w:w="1279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2++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1+</w:t>
            </w:r>
          </w:p>
        </w:tc>
        <w:tc>
          <w:tcPr>
            <w:tcW w:w="1468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</w:t>
            </w: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4+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2++</w:t>
            </w:r>
          </w:p>
        </w:tc>
      </w:tr>
      <w:tr w:rsidR="00267276" w:rsidRPr="007257AB" w:rsidTr="00E04BB4">
        <w:tc>
          <w:tcPr>
            <w:tcW w:w="1634" w:type="dxa"/>
            <w:vMerge w:val="restart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Общественные здания</w:t>
            </w:r>
          </w:p>
        </w:tc>
        <w:tc>
          <w:tcPr>
            <w:tcW w:w="1205" w:type="dxa"/>
            <w:vMerge w:val="restart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800</w:t>
            </w:r>
          </w:p>
        </w:tc>
        <w:tc>
          <w:tcPr>
            <w:tcW w:w="707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A</w:t>
            </w:r>
          </w:p>
        </w:tc>
        <w:tc>
          <w:tcPr>
            <w:tcW w:w="1279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4++</w:t>
            </w: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8+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4++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</w:t>
            </w:r>
          </w:p>
        </w:tc>
        <w:tc>
          <w:tcPr>
            <w:tcW w:w="1468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4+</w:t>
            </w:r>
          </w:p>
        </w:tc>
      </w:tr>
      <w:tr w:rsidR="00267276" w:rsidRPr="007257AB" w:rsidTr="00E04BB4">
        <w:tc>
          <w:tcPr>
            <w:tcW w:w="1634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</w:p>
        </w:tc>
        <w:tc>
          <w:tcPr>
            <w:tcW w:w="707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E</w:t>
            </w:r>
          </w:p>
        </w:tc>
        <w:tc>
          <w:tcPr>
            <w:tcW w:w="1279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4++</w:t>
            </w:r>
          </w:p>
        </w:tc>
        <w:tc>
          <w:tcPr>
            <w:tcW w:w="52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</w:t>
            </w:r>
          </w:p>
        </w:tc>
        <w:tc>
          <w:tcPr>
            <w:tcW w:w="1468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4+</w:t>
            </w:r>
          </w:p>
        </w:tc>
        <w:tc>
          <w:tcPr>
            <w:tcW w:w="425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4+</w:t>
            </w:r>
          </w:p>
        </w:tc>
        <w:tc>
          <w:tcPr>
            <w:tcW w:w="1066" w:type="dxa"/>
            <w:vAlign w:val="center"/>
            <w:hideMark/>
          </w:tcPr>
          <w:p w:rsidR="00267276" w:rsidRPr="007257AB" w:rsidRDefault="00267276" w:rsidP="00E04BB4">
            <w:pPr>
              <w:pStyle w:val="a8"/>
              <w:jc w:val="both"/>
              <w:rPr>
                <w:sz w:val="26"/>
                <w:szCs w:val="26"/>
              </w:rPr>
            </w:pPr>
            <w:r w:rsidRPr="007257AB">
              <w:rPr>
                <w:sz w:val="26"/>
                <w:szCs w:val="26"/>
              </w:rPr>
              <w:t>2++</w:t>
            </w:r>
          </w:p>
        </w:tc>
      </w:tr>
    </w:tbl>
    <w:p w:rsidR="00267276" w:rsidRPr="007257AB" w:rsidRDefault="00267276" w:rsidP="00267276">
      <w:pPr>
        <w:pStyle w:val="a8"/>
        <w:jc w:val="both"/>
        <w:rPr>
          <w:sz w:val="26"/>
          <w:szCs w:val="26"/>
        </w:rPr>
      </w:pP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773CCD">
        <w:rPr>
          <w:sz w:val="28"/>
          <w:szCs w:val="28"/>
        </w:rPr>
        <w:t>римечание</w:t>
      </w:r>
      <w:r>
        <w:rPr>
          <w:sz w:val="28"/>
          <w:szCs w:val="28"/>
        </w:rPr>
        <w:t>: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3CCD">
        <w:rPr>
          <w:sz w:val="28"/>
          <w:szCs w:val="28"/>
        </w:rPr>
        <w:t>1. Огнетушители должны размещаться на видных, удобных для доступа местах на высоте не менее 1,5 м.</w:t>
      </w:r>
      <w:r>
        <w:rPr>
          <w:sz w:val="28"/>
          <w:szCs w:val="28"/>
        </w:rPr>
        <w:t>;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3CCD">
        <w:rPr>
          <w:sz w:val="28"/>
          <w:szCs w:val="28"/>
        </w:rPr>
        <w:t>2. Асбестовые покрывала</w:t>
      </w:r>
      <w:r>
        <w:rPr>
          <w:sz w:val="28"/>
          <w:szCs w:val="28"/>
        </w:rPr>
        <w:t xml:space="preserve"> хранятся в герметических тубах;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3CCD">
        <w:rPr>
          <w:sz w:val="28"/>
          <w:szCs w:val="28"/>
        </w:rPr>
        <w:t>3. Выбор типа огнетушителей зависит от класса пожара и находящихся в помещении материалов. Определяется в соответствии с правилами противопожарного Российской Федерации (гл. XIX ППР РФ):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 w:rsidRPr="00773CCD">
        <w:rPr>
          <w:sz w:val="28"/>
          <w:szCs w:val="28"/>
        </w:rPr>
        <w:t>класс A - пожары твердых веществ, в основном органического происхождения, горение которых сопровождается тлением (древесина, текстиль, бумага);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3CCD">
        <w:rPr>
          <w:sz w:val="28"/>
          <w:szCs w:val="28"/>
        </w:rPr>
        <w:t>класс B - пожары горючих жидкостей или плавящихся твердых веществ;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3CCD">
        <w:rPr>
          <w:sz w:val="28"/>
          <w:szCs w:val="28"/>
        </w:rPr>
        <w:t>класс C - пожары газов;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3CCD">
        <w:rPr>
          <w:sz w:val="28"/>
          <w:szCs w:val="28"/>
        </w:rPr>
        <w:t>класс D - пожары металлов и их сплавов;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773CCD">
        <w:rPr>
          <w:sz w:val="28"/>
          <w:szCs w:val="28"/>
        </w:rPr>
        <w:t>класс (E) - пожары, связанные с горением электроустановок.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773CCD">
        <w:rPr>
          <w:sz w:val="28"/>
          <w:szCs w:val="28"/>
        </w:rPr>
        <w:t>. Для порошковых огнетушителей и углекислотных огнетушителей приведена двойная маркировка - старая маркировка по вместимости корпуса (литров) и новая маркировка по массе огнетушащего состава (килограммов).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 w:rsidRPr="00773CCD">
        <w:rPr>
          <w:sz w:val="28"/>
          <w:szCs w:val="28"/>
        </w:rPr>
        <w:t xml:space="preserve">При оснащении помещений порошковыми и углекислотными огнетушителями допускается использовать </w:t>
      </w:r>
      <w:proofErr w:type="gramStart"/>
      <w:r w:rsidRPr="00773CCD">
        <w:rPr>
          <w:sz w:val="28"/>
          <w:szCs w:val="28"/>
        </w:rPr>
        <w:t>огнетушители</w:t>
      </w:r>
      <w:proofErr w:type="gramEnd"/>
      <w:r w:rsidRPr="00773CCD">
        <w:rPr>
          <w:sz w:val="28"/>
          <w:szCs w:val="28"/>
        </w:rPr>
        <w:t xml:space="preserve"> как со старой, так и с новой маркировкой.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773CCD">
        <w:rPr>
          <w:sz w:val="28"/>
          <w:szCs w:val="28"/>
        </w:rPr>
        <w:t>. Знаком "++" обозначены рекомендуемые для оснащения объектов огнетушители, знаком "+" - огнетушители, применение которых допускается при отсутствии рекомендуемых и при соответствующем обосновании, знаком "</w:t>
      </w:r>
      <w:proofErr w:type="gramStart"/>
      <w:r w:rsidRPr="00773CCD">
        <w:rPr>
          <w:sz w:val="28"/>
          <w:szCs w:val="28"/>
        </w:rPr>
        <w:t>-"</w:t>
      </w:r>
      <w:proofErr w:type="gramEnd"/>
      <w:r w:rsidRPr="00773CCD">
        <w:rPr>
          <w:sz w:val="28"/>
          <w:szCs w:val="28"/>
        </w:rPr>
        <w:t xml:space="preserve"> - огнетушители, которые не допускаются для оснащения данных объектов.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right"/>
      </w:pPr>
      <w:r>
        <w:t>Приложение 4</w:t>
      </w:r>
    </w:p>
    <w:p w:rsidR="00267276" w:rsidRPr="00D65D06" w:rsidRDefault="00267276" w:rsidP="00267276">
      <w:pPr>
        <w:pStyle w:val="a8"/>
        <w:jc w:val="right"/>
      </w:pPr>
      <w:r w:rsidRPr="00D65D06">
        <w:t>к постановлению Администрации</w:t>
      </w:r>
    </w:p>
    <w:p w:rsidR="00267276" w:rsidRPr="00D65D06" w:rsidRDefault="00267276" w:rsidP="00267276">
      <w:pPr>
        <w:pStyle w:val="a8"/>
        <w:jc w:val="right"/>
      </w:pPr>
      <w:r w:rsidRPr="00D65D06">
        <w:t xml:space="preserve"> Чамзинского муниципального района</w:t>
      </w:r>
    </w:p>
    <w:p w:rsidR="00267276" w:rsidRDefault="00267276" w:rsidP="00267276">
      <w:pPr>
        <w:pStyle w:val="a8"/>
        <w:jc w:val="right"/>
      </w:pPr>
      <w:r w:rsidRPr="00D65D06">
        <w:t xml:space="preserve"> от _______2024 №____</w:t>
      </w:r>
    </w:p>
    <w:p w:rsidR="00267276" w:rsidRDefault="00267276" w:rsidP="00267276">
      <w:pPr>
        <w:pStyle w:val="a8"/>
        <w:jc w:val="right"/>
      </w:pPr>
    </w:p>
    <w:p w:rsidR="00267276" w:rsidRDefault="00267276" w:rsidP="00267276">
      <w:pPr>
        <w:pStyle w:val="a8"/>
        <w:jc w:val="right"/>
      </w:pPr>
    </w:p>
    <w:p w:rsidR="00267276" w:rsidRDefault="00267276" w:rsidP="00267276">
      <w:pPr>
        <w:pStyle w:val="a8"/>
        <w:jc w:val="right"/>
      </w:pPr>
    </w:p>
    <w:p w:rsidR="00267276" w:rsidRDefault="00267276" w:rsidP="00267276">
      <w:pPr>
        <w:pStyle w:val="a8"/>
        <w:jc w:val="right"/>
        <w:rPr>
          <w:sz w:val="28"/>
          <w:szCs w:val="28"/>
        </w:rPr>
      </w:pPr>
    </w:p>
    <w:p w:rsidR="00267276" w:rsidRPr="00B8713B" w:rsidRDefault="00267276" w:rsidP="00267276">
      <w:pPr>
        <w:pStyle w:val="a8"/>
        <w:jc w:val="center"/>
        <w:rPr>
          <w:b/>
          <w:sz w:val="28"/>
          <w:szCs w:val="28"/>
        </w:rPr>
      </w:pPr>
      <w:r w:rsidRPr="00B8713B">
        <w:rPr>
          <w:b/>
          <w:sz w:val="28"/>
          <w:szCs w:val="28"/>
        </w:rPr>
        <w:t>Перечень</w:t>
      </w:r>
    </w:p>
    <w:p w:rsidR="00267276" w:rsidRPr="00B8713B" w:rsidRDefault="00267276" w:rsidP="00267276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8713B">
        <w:rPr>
          <w:b/>
          <w:sz w:val="28"/>
          <w:szCs w:val="28"/>
        </w:rPr>
        <w:t xml:space="preserve">ервичных средств пожаротушения для индивидуальных жилых домов частного сектора </w:t>
      </w:r>
      <w:r>
        <w:rPr>
          <w:b/>
          <w:sz w:val="28"/>
          <w:szCs w:val="28"/>
        </w:rPr>
        <w:t xml:space="preserve">Чамзинского </w:t>
      </w:r>
      <w:r w:rsidRPr="00B8713B">
        <w:rPr>
          <w:b/>
          <w:sz w:val="28"/>
          <w:szCs w:val="28"/>
        </w:rPr>
        <w:t>муниципального района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 w:rsidRPr="00773CCD">
        <w:rPr>
          <w:sz w:val="28"/>
          <w:szCs w:val="28"/>
        </w:rPr>
        <w:t xml:space="preserve">      1. У каждого жилого строения устанавливается емкость (бочка) с водой объемом не менее 0,2 куб. м и комплектуется двумя ведрами.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 w:rsidRPr="00773CCD">
        <w:rPr>
          <w:sz w:val="28"/>
          <w:szCs w:val="28"/>
        </w:rPr>
        <w:t xml:space="preserve">      2. У каждого жилого строения устанавливается ящик для песка объемом 0,5; 1,0 и 3 куб. м (в зависимости от размера строения) и комплектуется совковой лопатой.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 w:rsidRPr="00773CCD">
        <w:rPr>
          <w:sz w:val="28"/>
          <w:szCs w:val="28"/>
        </w:rPr>
        <w:t xml:space="preserve">      3. В каждом жилом строении должен быть огнетушитель, который содержится согласно паспорту и своевременно перезаряжается.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 w:rsidRPr="00773CCD">
        <w:rPr>
          <w:sz w:val="28"/>
          <w:szCs w:val="28"/>
        </w:rPr>
        <w:t xml:space="preserve">      4. Все помещения (комнаты, холлы, кладовые) индивидуальных жилых домов оборудуются автономными пожарными </w:t>
      </w:r>
      <w:proofErr w:type="spellStart"/>
      <w:r w:rsidRPr="00773CCD">
        <w:rPr>
          <w:sz w:val="28"/>
          <w:szCs w:val="28"/>
        </w:rPr>
        <w:t>извещателями</w:t>
      </w:r>
      <w:proofErr w:type="spellEnd"/>
      <w:r w:rsidRPr="00773CCD">
        <w:rPr>
          <w:sz w:val="28"/>
          <w:szCs w:val="28"/>
        </w:rPr>
        <w:t>.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 w:rsidRPr="00773CCD">
        <w:rPr>
          <w:sz w:val="28"/>
          <w:szCs w:val="28"/>
        </w:rPr>
        <w:t xml:space="preserve">      5. На электрооборудование устанавливаются защитные устройства.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 w:rsidRPr="00773CCD">
        <w:rPr>
          <w:sz w:val="28"/>
          <w:szCs w:val="28"/>
        </w:rPr>
        <w:t xml:space="preserve">      6. </w:t>
      </w:r>
      <w:proofErr w:type="gramStart"/>
      <w:r w:rsidRPr="00773CCD">
        <w:rPr>
          <w:sz w:val="28"/>
          <w:szCs w:val="28"/>
        </w:rPr>
        <w:t>Из расчета на каждые 10 домов необходимо иметь пожарный щит, на котором должно находиться: лом, багор, 2 ведра, 2 огнетушителя объемом не менее 10 литров каждый, 1 лопата штыковая, 1 лопата совковая, асбестовое полотно, грубошерстная ткань или войлок (кошма, покрывало из негорючего материала), емкость для хранения воды не менее 0,2 куб. м (местонахождение определяется на сходе</w:t>
      </w:r>
      <w:r>
        <w:rPr>
          <w:sz w:val="28"/>
          <w:szCs w:val="28"/>
        </w:rPr>
        <w:t xml:space="preserve"> граждан</w:t>
      </w:r>
      <w:r w:rsidRPr="00773CCD">
        <w:rPr>
          <w:sz w:val="28"/>
          <w:szCs w:val="28"/>
        </w:rPr>
        <w:t>).</w:t>
      </w:r>
      <w:proofErr w:type="gramEnd"/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  <w:r w:rsidRPr="00773CCD">
        <w:rPr>
          <w:sz w:val="28"/>
          <w:szCs w:val="28"/>
        </w:rPr>
        <w:t xml:space="preserve">      7. На стенах индивидуальных жилых домов (калитках или воротах домовладений) вывешиваются таблички с изображением инвентаря, с которым жильцы этих домов обязаны являться на тушение пожара.</w:t>
      </w:r>
    </w:p>
    <w:p w:rsidR="00267276" w:rsidRPr="00773CCD" w:rsidRDefault="00267276" w:rsidP="00267276">
      <w:pPr>
        <w:pStyle w:val="a8"/>
        <w:jc w:val="both"/>
        <w:rPr>
          <w:sz w:val="28"/>
          <w:szCs w:val="28"/>
        </w:rPr>
      </w:pPr>
    </w:p>
    <w:p w:rsidR="00267276" w:rsidRDefault="00267276" w:rsidP="00267276">
      <w:pPr>
        <w:pStyle w:val="a8"/>
        <w:jc w:val="both"/>
        <w:rPr>
          <w:sz w:val="28"/>
          <w:szCs w:val="28"/>
        </w:rPr>
      </w:pPr>
    </w:p>
    <w:p w:rsidR="00631022" w:rsidRPr="003C1A34" w:rsidRDefault="00631022" w:rsidP="00267276">
      <w:pPr>
        <w:rPr>
          <w:color w:val="auto"/>
          <w:sz w:val="28"/>
          <w:szCs w:val="28"/>
        </w:rPr>
      </w:pPr>
    </w:p>
    <w:sectPr w:rsidR="00631022" w:rsidRPr="003C1A34" w:rsidSect="00D65D06">
      <w:pgSz w:w="11906" w:h="16838"/>
      <w:pgMar w:top="567" w:right="850" w:bottom="851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7F60"/>
    <w:multiLevelType w:val="hybridMultilevel"/>
    <w:tmpl w:val="202A704E"/>
    <w:lvl w:ilvl="0" w:tplc="FDEAC52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13F7"/>
    <w:rsid w:val="00015B06"/>
    <w:rsid w:val="00026079"/>
    <w:rsid w:val="00037DAB"/>
    <w:rsid w:val="000C53B8"/>
    <w:rsid w:val="000D6C22"/>
    <w:rsid w:val="000E3111"/>
    <w:rsid w:val="00107397"/>
    <w:rsid w:val="001600B8"/>
    <w:rsid w:val="001A2528"/>
    <w:rsid w:val="001B4B42"/>
    <w:rsid w:val="001B732C"/>
    <w:rsid w:val="00205EE6"/>
    <w:rsid w:val="002128EA"/>
    <w:rsid w:val="00231E2B"/>
    <w:rsid w:val="0025358D"/>
    <w:rsid w:val="00267276"/>
    <w:rsid w:val="00284B67"/>
    <w:rsid w:val="002A06B7"/>
    <w:rsid w:val="002A4233"/>
    <w:rsid w:val="002E6D09"/>
    <w:rsid w:val="00301FBB"/>
    <w:rsid w:val="00313E3F"/>
    <w:rsid w:val="00323724"/>
    <w:rsid w:val="00335F0C"/>
    <w:rsid w:val="00345CB2"/>
    <w:rsid w:val="0035604E"/>
    <w:rsid w:val="00356E20"/>
    <w:rsid w:val="00383428"/>
    <w:rsid w:val="003C1A34"/>
    <w:rsid w:val="0040102A"/>
    <w:rsid w:val="00411452"/>
    <w:rsid w:val="00414DB0"/>
    <w:rsid w:val="00433329"/>
    <w:rsid w:val="00436516"/>
    <w:rsid w:val="0044308A"/>
    <w:rsid w:val="004816A4"/>
    <w:rsid w:val="005259CC"/>
    <w:rsid w:val="005351B9"/>
    <w:rsid w:val="00586B6B"/>
    <w:rsid w:val="006112DA"/>
    <w:rsid w:val="00631022"/>
    <w:rsid w:val="006727AC"/>
    <w:rsid w:val="00672FA7"/>
    <w:rsid w:val="006B30A6"/>
    <w:rsid w:val="006E544B"/>
    <w:rsid w:val="007847DF"/>
    <w:rsid w:val="007C06F8"/>
    <w:rsid w:val="007E4E2D"/>
    <w:rsid w:val="008039C8"/>
    <w:rsid w:val="00813CA0"/>
    <w:rsid w:val="008552A2"/>
    <w:rsid w:val="00893416"/>
    <w:rsid w:val="008D079D"/>
    <w:rsid w:val="00957207"/>
    <w:rsid w:val="00974865"/>
    <w:rsid w:val="00995E13"/>
    <w:rsid w:val="009F148C"/>
    <w:rsid w:val="00A068A5"/>
    <w:rsid w:val="00A26459"/>
    <w:rsid w:val="00A46A23"/>
    <w:rsid w:val="00A54F35"/>
    <w:rsid w:val="00A81EC0"/>
    <w:rsid w:val="00AD4765"/>
    <w:rsid w:val="00AF459C"/>
    <w:rsid w:val="00AF4C20"/>
    <w:rsid w:val="00B0196B"/>
    <w:rsid w:val="00B13814"/>
    <w:rsid w:val="00B35CA4"/>
    <w:rsid w:val="00B36CA3"/>
    <w:rsid w:val="00B42659"/>
    <w:rsid w:val="00BA13F7"/>
    <w:rsid w:val="00BA4FE7"/>
    <w:rsid w:val="00BD3171"/>
    <w:rsid w:val="00BE5FAF"/>
    <w:rsid w:val="00BF79FB"/>
    <w:rsid w:val="00C04954"/>
    <w:rsid w:val="00C152C7"/>
    <w:rsid w:val="00C26142"/>
    <w:rsid w:val="00C266AB"/>
    <w:rsid w:val="00C47A09"/>
    <w:rsid w:val="00CC0DEB"/>
    <w:rsid w:val="00D03462"/>
    <w:rsid w:val="00D63065"/>
    <w:rsid w:val="00D65D06"/>
    <w:rsid w:val="00DB5170"/>
    <w:rsid w:val="00DE6825"/>
    <w:rsid w:val="00E475E8"/>
    <w:rsid w:val="00E9229C"/>
    <w:rsid w:val="00E959DA"/>
    <w:rsid w:val="00EA7A92"/>
    <w:rsid w:val="00EB11D4"/>
    <w:rsid w:val="00EE53F7"/>
    <w:rsid w:val="00EF0504"/>
    <w:rsid w:val="00F01345"/>
    <w:rsid w:val="00F10561"/>
    <w:rsid w:val="00F120CE"/>
    <w:rsid w:val="00F1729F"/>
    <w:rsid w:val="00F43D54"/>
    <w:rsid w:val="00F519C8"/>
    <w:rsid w:val="00F51E8D"/>
    <w:rsid w:val="00F568C2"/>
    <w:rsid w:val="00F65643"/>
    <w:rsid w:val="00F6723E"/>
    <w:rsid w:val="00F84AC8"/>
    <w:rsid w:val="00FD22C6"/>
    <w:rsid w:val="00FE4EFF"/>
    <w:rsid w:val="00FF1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3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1A34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A34"/>
    <w:rPr>
      <w:rFonts w:ascii="Arial" w:eastAsia="Calibri" w:hAnsi="Arial" w:cs="Times New Roman"/>
      <w:b/>
      <w:bCs/>
      <w:color w:val="26282F"/>
      <w:sz w:val="24"/>
      <w:szCs w:val="24"/>
      <w:lang/>
    </w:rPr>
  </w:style>
  <w:style w:type="character" w:customStyle="1" w:styleId="a3">
    <w:name w:val="Гипертекстовая ссылка"/>
    <w:rsid w:val="003C1A34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3C1A34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3C1A34"/>
    <w:rPr>
      <w:b/>
      <w:color w:val="000080"/>
    </w:rPr>
  </w:style>
  <w:style w:type="paragraph" w:customStyle="1" w:styleId="a6">
    <w:name w:val="Нормальный (таблица)"/>
    <w:basedOn w:val="a"/>
    <w:next w:val="a"/>
    <w:rsid w:val="003C1A34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character" w:styleId="a7">
    <w:name w:val="Hyperlink"/>
    <w:basedOn w:val="a0"/>
    <w:uiPriority w:val="99"/>
    <w:semiHidden/>
    <w:unhideWhenUsed/>
    <w:rsid w:val="00FF1756"/>
    <w:rPr>
      <w:color w:val="0857A6"/>
      <w:u w:val="single"/>
    </w:rPr>
  </w:style>
  <w:style w:type="paragraph" w:styleId="a8">
    <w:name w:val="No Spacing"/>
    <w:uiPriority w:val="1"/>
    <w:qFormat/>
    <w:rsid w:val="001B4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enter">
    <w:name w:val="pcenter"/>
    <w:basedOn w:val="a"/>
    <w:rsid w:val="00E959D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3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1A34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A34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rsid w:val="003C1A34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3C1A34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3C1A34"/>
    <w:rPr>
      <w:b/>
      <w:color w:val="000080"/>
    </w:rPr>
  </w:style>
  <w:style w:type="paragraph" w:customStyle="1" w:styleId="a6">
    <w:name w:val="Нормальный (таблица)"/>
    <w:basedOn w:val="a"/>
    <w:next w:val="a"/>
    <w:rsid w:val="003C1A34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character" w:styleId="a7">
    <w:name w:val="Hyperlink"/>
    <w:basedOn w:val="a0"/>
    <w:uiPriority w:val="99"/>
    <w:semiHidden/>
    <w:unhideWhenUsed/>
    <w:rsid w:val="00FF1756"/>
    <w:rPr>
      <w:color w:val="0857A6"/>
      <w:u w:val="single"/>
    </w:rPr>
  </w:style>
  <w:style w:type="paragraph" w:styleId="a8">
    <w:name w:val="No Spacing"/>
    <w:uiPriority w:val="1"/>
    <w:qFormat/>
    <w:rsid w:val="001B4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enter">
    <w:name w:val="pcenter"/>
    <w:basedOn w:val="a"/>
    <w:rsid w:val="00E959D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Novikova</cp:lastModifiedBy>
  <cp:revision>2</cp:revision>
  <cp:lastPrinted>2016-10-17T08:08:00Z</cp:lastPrinted>
  <dcterms:created xsi:type="dcterms:W3CDTF">2024-11-27T11:21:00Z</dcterms:created>
  <dcterms:modified xsi:type="dcterms:W3CDTF">2024-11-27T11:21:00Z</dcterms:modified>
</cp:coreProperties>
</file>